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C29B">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江苏师范大学科学塑形与健康管理微专业2026年招生简章</w:t>
      </w:r>
    </w:p>
    <w:p w14:paraId="7BDC6229">
      <w:pPr>
        <w:rPr>
          <w:rFonts w:hint="eastAsia"/>
        </w:rPr>
      </w:pPr>
    </w:p>
    <w:p w14:paraId="50AEC56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一、微专业介绍</w:t>
      </w:r>
    </w:p>
    <w:p w14:paraId="71E2AB3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专业是面向全校各专业学生开设的跨学科复合型人才培养项目，以运动科学为核心，融合营养学、健康管理学、运动医学等多学科知识体系。本微专业旨在培养具备科学运动指导能力、健康体重管理技能、运动营养规划素养的复合型健康促进人才，使学生能够为自身及他人提供专业化的运动健康解决方案。</w:t>
      </w:r>
    </w:p>
    <w:p w14:paraId="1FCE3A0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二、培养目标</w:t>
      </w:r>
    </w:p>
    <w:p w14:paraId="45945C6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（一）培养方向</w:t>
      </w:r>
    </w:p>
    <w:p w14:paraId="55A0BB7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微专业旨在培养具备运动健康科学素养和实践指导能力的复合型人才。学生通过系统学习，能够掌握运动健康促进的核心理论，具备科学管理自身及指导他人进行体重管理、运动塑形、营养膳食规划的专业能力，成为倡导健康生活方式、服务全民健康的践行者与传播者。</w:t>
      </w:r>
    </w:p>
    <w:p w14:paraId="12445F5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（二）培养模式</w:t>
      </w:r>
    </w:p>
    <w:p w14:paraId="640AF67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微专业采用“学科交叉、实践主导、弹性学习”的培养模式，构建高效实用的健康管理能力培养体系。课程设计融合运动科学、营养学与健康管理核心知识，形成系统化课程模块，突出跨学科整合。教学实施采用“线上理论+线下实操”混合模式，依托专业实验室与训练中心开展高比例实践教学，强化动手能力与方案解决技能。学习支持提供周末/暑期等灵活授课时间，配备导师组指导，引入真实案例开展项目式学习，支持个性化成长。评价体系注重过程考核与实践能力评估，依托数字化平台实现学习跟踪与持续反馈。资源保障由高水平师资团队执教，共享学院优质实验平台与行业实践基地，赋能学生全面发展。</w:t>
      </w:r>
    </w:p>
    <w:p w14:paraId="139DBC8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1.特色课程设计</w:t>
      </w:r>
    </w:p>
    <w:p w14:paraId="2EF02F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（1）模块化课程结构：课程体系围绕“基础理论—核心技能—综合应用”主线展开，课程结构分三大模块：</w:t>
      </w:r>
    </w:p>
    <w:p w14:paraId="177F50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理论基础模块：涵盖运动解剖与生理基础、运动健康促进导论等，夯实科学认知；</w:t>
      </w:r>
    </w:p>
    <w:p w14:paraId="047232C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2）</w:t>
      </w:r>
      <w:r>
        <w:rPr>
          <w:rFonts w:hint="eastAsia" w:ascii="仿宋" w:hAnsi="仿宋" w:eastAsia="仿宋" w:cs="仿宋"/>
          <w:sz w:val="32"/>
          <w:szCs w:val="32"/>
          <w14:ligatures w14:val="none"/>
        </w:rPr>
        <w:t>核心技能模块：包括运动营养与膳食、健康体重管理、运动处方与健康评估等，聚焦关键技术方法；</w:t>
      </w:r>
    </w:p>
    <w:p w14:paraId="2556283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3）</w:t>
      </w:r>
      <w:r>
        <w:rPr>
          <w:rFonts w:hint="eastAsia" w:ascii="仿宋" w:hAnsi="仿宋" w:eastAsia="仿宋" w:cs="仿宋"/>
          <w:sz w:val="32"/>
          <w:szCs w:val="32"/>
          <w14:ligatures w14:val="none"/>
        </w:rPr>
        <w:t>实践应用模块：通过运动塑形与体态纠正、健康管理综合实践等课程，强化方案制定、实操指导与真实场景问题解决能力。</w:t>
      </w:r>
    </w:p>
    <w:p w14:paraId="7552718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4）</w:t>
      </w:r>
      <w:r>
        <w:rPr>
          <w:rFonts w:hint="eastAsia" w:ascii="仿宋" w:hAnsi="仿宋" w:eastAsia="仿宋" w:cs="仿宋"/>
          <w:sz w:val="32"/>
          <w:szCs w:val="32"/>
          <w14:ligatures w14:val="none"/>
        </w:rPr>
        <w:t>前沿技术课程：运动塑形与体态纠正、健康体重管理、运动处方与健康评估、健康管理综合实践等。</w:t>
      </w:r>
    </w:p>
    <w:p w14:paraId="76DAC2F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2.实践与创新</w:t>
      </w:r>
    </w:p>
    <w:p w14:paraId="4176D6C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项目驱动：以健康生活方式改善、不良体态纠正、体重管理、健身塑形等实际健康促进等实际需求为应用导向，以项目管理的形式驱动健康知识理念的实践应用。</w:t>
      </w:r>
    </w:p>
    <w:p w14:paraId="65AF63A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3.综合素质培养</w:t>
      </w:r>
    </w:p>
    <w:p w14:paraId="148E5BA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以运动科学为核心，融合营养学、健康管理学、运动医学等多学科知识体系，鼓励跨学科融合，旨在培养学生科学运动指导能力、健康体重管理技能、运动营养规划素养等综合素质。</w:t>
      </w:r>
    </w:p>
    <w:p w14:paraId="345EDDA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（三）培养要求</w:t>
      </w:r>
    </w:p>
    <w:p w14:paraId="366AFEA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1.理论基础</w:t>
      </w:r>
    </w:p>
    <w:p w14:paraId="41B921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系统掌握运动人体科学、营养学基础及健康管理学核心理论，理解身体成分、能量代谢与健康风险的相互关系，能够运用科学原理分析个体健康需求，形成跨学科的知识整合能力。</w:t>
      </w:r>
    </w:p>
    <w:p w14:paraId="7658E8E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2.实践能力</w:t>
      </w:r>
    </w:p>
    <w:p w14:paraId="4BEAEC0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具备健康评估、运动处方制定、营养方案设计与体态矫正等实操技能，能独立完成个体与群体的健康管理方案设计，并运用专业仪器进行运动与生理指标监控，具备解决实际健康问题的综合应用能力。</w:t>
      </w:r>
    </w:p>
    <w:p w14:paraId="2A56974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3.社会责任与职业道德</w:t>
      </w:r>
    </w:p>
    <w:p w14:paraId="56F5C18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树立主动健康促进意识，理解在全民健康背景下的专业角色与社会责任；恪守职业伦理，倡导科学、安全、包容的健康服务理念，具备在相关领域持续服务与积极影响公众健康素养的使命感。</w:t>
      </w:r>
    </w:p>
    <w:p w14:paraId="2D0D356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三、专业特色</w:t>
      </w:r>
    </w:p>
    <w:p w14:paraId="6EC5709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一）</w:t>
      </w:r>
      <w:r>
        <w:rPr>
          <w:rFonts w:hint="eastAsia" w:ascii="楷体" w:hAnsi="楷体" w:eastAsia="楷体" w:cs="楷体"/>
          <w:sz w:val="32"/>
          <w:szCs w:val="32"/>
          <w14:ligatures w14:val="none"/>
        </w:rPr>
        <w:t>前沿课程设置</w:t>
      </w:r>
    </w:p>
    <w:p w14:paraId="277D9D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课程体系以体重管理、营养保障、科学塑形、慢性病预防等实际健身塑形和健康管理问题为落脚点，开设运动塑形与体态纠正、健康体重管理、运动处方与健康评估、健康管理综合实践等特色课程，通过科学的运动与健康知识指导健康管理实践。</w:t>
      </w:r>
    </w:p>
    <w:p w14:paraId="191AF9C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二）</w:t>
      </w:r>
      <w:r>
        <w:rPr>
          <w:rFonts w:hint="eastAsia" w:ascii="楷体" w:hAnsi="楷体" w:eastAsia="楷体" w:cs="楷体"/>
          <w:sz w:val="32"/>
          <w:szCs w:val="32"/>
          <w:lang w:eastAsia="zh-CN"/>
          <w14:ligatures w14:val="none"/>
        </w:rPr>
        <w:t>实践导向</w:t>
      </w:r>
    </w:p>
    <w:p w14:paraId="3AECB49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采用“学—练—用”一体化培养路径，实践教学比例近50%。依托运动生理实验室、体能训练中心及合作实践基地，开展真实案例分析与健康管理项目实训，重点提升方案设计、实操指导与问题解决的综合能力。</w:t>
      </w:r>
    </w:p>
    <w:p w14:paraId="25D7C26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三）</w:t>
      </w:r>
      <w:r>
        <w:rPr>
          <w:rFonts w:hint="eastAsia" w:ascii="楷体" w:hAnsi="楷体" w:eastAsia="楷体" w:cs="楷体"/>
          <w:sz w:val="32"/>
          <w:szCs w:val="32"/>
          <w:lang w:eastAsia="zh-CN"/>
          <w14:ligatures w14:val="none"/>
        </w:rPr>
        <w:t>跨学科融合</w:t>
      </w:r>
    </w:p>
    <w:p w14:paraId="614A4EF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突破单一学科界限，有机整合运动科学、营养学、健康管理学、行为科学等多领域知识，培养学生具备“运动干预+营养支持+行为管理”的系统思维，能够应对复杂健康需求，提供整合式健康解决方案。</w:t>
      </w:r>
    </w:p>
    <w:p w14:paraId="7AC57B7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四）</w:t>
      </w:r>
      <w:r>
        <w:rPr>
          <w:rFonts w:hint="eastAsia" w:ascii="楷体" w:hAnsi="楷体" w:eastAsia="楷体" w:cs="楷体"/>
          <w:sz w:val="32"/>
          <w:szCs w:val="32"/>
          <w:lang w:eastAsia="zh-CN"/>
          <w14:ligatures w14:val="none"/>
        </w:rPr>
        <w:t>社会责任与可持续发展</w:t>
      </w:r>
    </w:p>
    <w:p w14:paraId="051E03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专业设置贯穿“健康中国”与“全民健身”国家战略内涵，注重培养学生的公共服务意识与健康促进使命感。引导学生树立可持续发展理念，在健康管理中兼顾个体需求与社会效益，助力构建科学、包容、持久的校园与社会健康生态。</w:t>
      </w:r>
    </w:p>
    <w:p w14:paraId="6B83E63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四、资源保障</w:t>
      </w:r>
    </w:p>
    <w:p w14:paraId="3E23048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一）</w:t>
      </w:r>
      <w:r>
        <w:rPr>
          <w:rFonts w:hint="eastAsia" w:ascii="楷体" w:hAnsi="楷体" w:eastAsia="楷体" w:cs="楷体"/>
          <w:sz w:val="32"/>
          <w:szCs w:val="32"/>
          <w:lang w:eastAsia="zh-CN"/>
          <w14:ligatures w14:val="none"/>
        </w:rPr>
        <w:t>教学团队</w:t>
      </w:r>
    </w:p>
    <w:p w14:paraId="6070718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微专业组建了一支高水平教学团队，全部由副教授及以上职称教师构成，均拥有博士学位，年龄结构合理，学缘背景互补，具备深厚的学术积淀、突出的创新能力和高度的教学热情。团队教师在科研与教学方面成果显著，累计主持省部级以上科研项目7项，发表核心期刊及以上论文100余篇，主编或参编全国统编教材3部。荣获各类专业竞赛奖项10余项，并多次指导学生获得国家级、省部级奖项。</w:t>
      </w:r>
    </w:p>
    <w:p w14:paraId="54C0F9E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二）</w:t>
      </w:r>
      <w:r>
        <w:rPr>
          <w:rFonts w:hint="eastAsia" w:ascii="楷体" w:hAnsi="楷体" w:eastAsia="楷体" w:cs="楷体"/>
          <w:sz w:val="32"/>
          <w:szCs w:val="32"/>
          <w:lang w:eastAsia="zh-CN"/>
          <w14:ligatures w14:val="none"/>
        </w:rPr>
        <w:t>课程资源</w:t>
      </w:r>
    </w:p>
    <w:p w14:paraId="3C6C180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微专业深度融合体育学院现有核心课程体系，配备丰富的数字化线上教学资源。实践教学条件优越，拥有运动表现分析实验室、运动生理实验室、解剖实验室及现代化体能训练与测试中心，形成“理论—实践—应用”一体化的教学支持体系，全面保障专业人才培养需求。</w:t>
      </w:r>
    </w:p>
    <w:p w14:paraId="33C3841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三）</w:t>
      </w:r>
      <w:r>
        <w:rPr>
          <w:rFonts w:hint="eastAsia" w:ascii="楷体" w:hAnsi="楷体" w:eastAsia="楷体" w:cs="楷体"/>
          <w:sz w:val="32"/>
          <w:szCs w:val="32"/>
          <w:lang w:eastAsia="zh-CN"/>
          <w14:ligatures w14:val="none"/>
        </w:rPr>
        <w:t>信息化资源</w:t>
      </w:r>
    </w:p>
    <w:p w14:paraId="6EAED99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依托学校智慧教学平台建设专属在线课程空间，整合数字化资源与专业数据库，实现学习、实训、评价全流程信息化管理，支撑混合式教学与自主学习。</w:t>
      </w:r>
    </w:p>
    <w:p w14:paraId="216B53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eastAsia="zh-CN"/>
          <w14:ligatures w14:val="none"/>
        </w:rPr>
        <w:t>（</w:t>
      </w:r>
      <w:r>
        <w:rPr>
          <w:rFonts w:hint="eastAsia" w:ascii="楷体" w:hAnsi="楷体" w:eastAsia="楷体" w:cs="楷体"/>
          <w:sz w:val="32"/>
          <w:szCs w:val="32"/>
          <w:lang w:val="en-US" w:eastAsia="zh-CN"/>
          <w14:ligatures w14:val="none"/>
        </w:rPr>
        <w:t>四）</w:t>
      </w:r>
      <w:r>
        <w:rPr>
          <w:rFonts w:hint="eastAsia" w:ascii="楷体" w:hAnsi="楷体" w:eastAsia="楷体" w:cs="楷体"/>
          <w:sz w:val="32"/>
          <w:szCs w:val="32"/>
          <w:lang w:eastAsia="zh-CN"/>
          <w14:ligatures w14:val="none"/>
        </w:rPr>
        <w:t>学术资源</w:t>
      </w:r>
    </w:p>
    <w:p w14:paraId="2D5CC68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专业教师的研究方向与本微专业培养目标高度契合、相互支撑，科研成果广泛发表于SCI、SSCI、CSSCI等国内外权威期刊。团队注重科研反哺教学，能够及时将学科前沿动态与创新成果融入课程内容，确保教学内容的先进性与实践性；教学成果进一步支持学术成果产出。</w:t>
      </w:r>
    </w:p>
    <w:p w14:paraId="5B37F49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五、招生对象及条件</w:t>
      </w:r>
    </w:p>
    <w:p w14:paraId="0CB01C4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eastAsia="仿宋"/>
          <w:lang w:eastAsia="zh-CN"/>
        </w:rPr>
      </w:pPr>
      <w:r>
        <w:rPr>
          <w:rFonts w:hint="eastAsia" w:ascii="楷体" w:hAnsi="楷体" w:eastAsia="楷体" w:cs="楷体"/>
          <w:sz w:val="32"/>
          <w:szCs w:val="32"/>
          <w:lang w:val="en-US" w:eastAsia="zh-CN"/>
          <w14:ligatures w14:val="none"/>
        </w:rPr>
        <w:t>（一）招生对象：</w:t>
      </w:r>
      <w:r>
        <w:rPr>
          <w:rFonts w:hint="eastAsia" w:ascii="仿宋" w:hAnsi="仿宋" w:eastAsia="仿宋" w:cs="仿宋"/>
          <w:sz w:val="32"/>
          <w:szCs w:val="32"/>
          <w14:ligatures w14:val="none"/>
        </w:rPr>
        <w:t>在读大</w:t>
      </w:r>
      <w:r>
        <w:rPr>
          <w:rFonts w:hint="eastAsia" w:ascii="仿宋" w:hAnsi="仿宋" w:eastAsia="仿宋" w:cs="仿宋"/>
          <w:sz w:val="32"/>
          <w:szCs w:val="32"/>
          <w:lang w:eastAsia="zh-CN"/>
          <w14:ligatures w14:val="none"/>
        </w:rPr>
        <w:t>一、大</w:t>
      </w:r>
      <w:r>
        <w:rPr>
          <w:rFonts w:hint="eastAsia" w:ascii="仿宋" w:hAnsi="仿宋" w:eastAsia="仿宋" w:cs="仿宋"/>
          <w:sz w:val="32"/>
          <w:szCs w:val="32"/>
          <w14:ligatures w14:val="none"/>
        </w:rPr>
        <w:t>二</w:t>
      </w:r>
      <w:r>
        <w:rPr>
          <w:rFonts w:hint="eastAsia" w:ascii="仿宋" w:hAnsi="仿宋" w:eastAsia="仿宋" w:cs="仿宋"/>
          <w:sz w:val="32"/>
          <w:szCs w:val="32"/>
          <w:lang w:eastAsia="zh-CN"/>
          <w14:ligatures w14:val="none"/>
        </w:rPr>
        <w:t>大三</w:t>
      </w:r>
      <w:r>
        <w:rPr>
          <w:rFonts w:hint="eastAsia" w:ascii="仿宋" w:hAnsi="仿宋" w:eastAsia="仿宋" w:cs="仿宋"/>
          <w:sz w:val="32"/>
          <w:szCs w:val="32"/>
          <w14:ligatures w14:val="none"/>
        </w:rPr>
        <w:t>全日制本科生</w:t>
      </w:r>
      <w:r>
        <w:rPr>
          <w:rFonts w:hint="eastAsia" w:ascii="仿宋" w:hAnsi="仿宋" w:eastAsia="仿宋" w:cs="仿宋"/>
          <w:sz w:val="32"/>
          <w:szCs w:val="32"/>
          <w:lang w:eastAsia="zh-CN"/>
          <w14:ligatures w14:val="none"/>
        </w:rPr>
        <w:t>及有条件的研究生</w:t>
      </w:r>
    </w:p>
    <w:p w14:paraId="5B38AEB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sz w:val="32"/>
          <w:szCs w:val="32"/>
          <w:lang w:eastAsia="zh-CN"/>
          <w14:ligatures w14:val="none"/>
        </w:rPr>
      </w:pPr>
      <w:r>
        <w:rPr>
          <w:rFonts w:hint="eastAsia" w:ascii="楷体" w:hAnsi="楷体" w:eastAsia="楷体" w:cs="楷体"/>
          <w:sz w:val="32"/>
          <w:szCs w:val="32"/>
          <w:lang w:val="en-US" w:eastAsia="zh-CN"/>
          <w14:ligatures w14:val="none"/>
        </w:rPr>
        <w:t>（二）计划招生人数：</w:t>
      </w:r>
      <w:r>
        <w:rPr>
          <w:rFonts w:hint="eastAsia" w:ascii="仿宋" w:hAnsi="仿宋" w:eastAsia="仿宋" w:cs="仿宋"/>
          <w:sz w:val="32"/>
          <w:szCs w:val="32"/>
          <w:lang w:eastAsia="zh-CN"/>
          <w14:ligatures w14:val="none"/>
        </w:rPr>
        <w:t>计划招生60人</w:t>
      </w:r>
    </w:p>
    <w:p w14:paraId="2892CEA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sz w:val="32"/>
          <w:szCs w:val="32"/>
          <w:lang w:val="en-US" w:eastAsia="zh-CN"/>
          <w14:ligatures w14:val="none"/>
        </w:rPr>
        <w:t>（三）学制、学分：1</w:t>
      </w:r>
      <w:r>
        <w:rPr>
          <w:rFonts w:hint="eastAsia" w:ascii="仿宋" w:hAnsi="仿宋" w:eastAsia="仿宋" w:cs="仿宋"/>
          <w:sz w:val="32"/>
          <w:szCs w:val="32"/>
          <w14:ligatures w14:val="none"/>
        </w:rPr>
        <w:t>年、15学分</w:t>
      </w:r>
    </w:p>
    <w:p w14:paraId="230E133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sz w:val="32"/>
          <w:szCs w:val="32"/>
          <w:lang w:val="en-US" w:eastAsia="zh-CN"/>
          <w14:ligatures w14:val="none"/>
        </w:rPr>
        <w:t>（四）收费标准：</w:t>
      </w:r>
      <w:r>
        <w:rPr>
          <w:rFonts w:hint="eastAsia" w:ascii="仿宋" w:hAnsi="仿宋" w:eastAsia="仿宋" w:cs="仿宋"/>
          <w:sz w:val="32"/>
          <w:szCs w:val="32"/>
          <w:lang w:val="en-US" w:eastAsia="zh-CN"/>
          <w14:ligatures w14:val="none"/>
        </w:rPr>
        <w:t>8</w:t>
      </w:r>
      <w:r>
        <w:rPr>
          <w:rFonts w:hint="eastAsia" w:ascii="仿宋" w:hAnsi="仿宋" w:eastAsia="仿宋" w:cs="仿宋"/>
          <w:sz w:val="32"/>
          <w:szCs w:val="32"/>
          <w14:ligatures w14:val="none"/>
        </w:rPr>
        <w:t>0元/</w:t>
      </w:r>
      <w:r>
        <w:rPr>
          <w:rFonts w:hint="eastAsia" w:ascii="仿宋" w:hAnsi="仿宋" w:eastAsia="仿宋" w:cs="仿宋"/>
          <w:sz w:val="32"/>
          <w:szCs w:val="32"/>
          <w:lang w:eastAsia="zh-CN"/>
          <w14:ligatures w14:val="none"/>
        </w:rPr>
        <w:t>学</w:t>
      </w:r>
      <w:r>
        <w:rPr>
          <w:rFonts w:hint="eastAsia" w:ascii="仿宋" w:hAnsi="仿宋" w:eastAsia="仿宋" w:cs="仿宋"/>
          <w:sz w:val="32"/>
          <w:szCs w:val="32"/>
          <w14:ligatures w14:val="none"/>
        </w:rPr>
        <w:t>分，合计 1</w:t>
      </w:r>
      <w:r>
        <w:rPr>
          <w:rFonts w:hint="eastAsia" w:ascii="仿宋" w:hAnsi="仿宋" w:eastAsia="仿宋" w:cs="仿宋"/>
          <w:sz w:val="32"/>
          <w:szCs w:val="32"/>
          <w:lang w:val="en-US" w:eastAsia="zh-CN"/>
          <w14:ligatures w14:val="none"/>
        </w:rPr>
        <w:t>2</w:t>
      </w:r>
      <w:r>
        <w:rPr>
          <w:rFonts w:hint="eastAsia" w:ascii="仿宋" w:hAnsi="仿宋" w:eastAsia="仿宋" w:cs="仿宋"/>
          <w:sz w:val="32"/>
          <w:szCs w:val="32"/>
          <w14:ligatures w14:val="none"/>
        </w:rPr>
        <w:t>00 元</w:t>
      </w:r>
    </w:p>
    <w:p w14:paraId="6E04E4B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sz w:val="32"/>
          <w:szCs w:val="32"/>
          <w:lang w:val="en-US" w:eastAsia="zh-CN"/>
          <w14:ligatures w14:val="none"/>
        </w:rPr>
        <w:t>（五）授课方式：</w:t>
      </w:r>
      <w:r>
        <w:rPr>
          <w:rFonts w:hint="eastAsia" w:ascii="仿宋" w:hAnsi="仿宋" w:eastAsia="仿宋" w:cs="仿宋"/>
          <w:sz w:val="32"/>
          <w:szCs w:val="32"/>
          <w14:ligatures w14:val="none"/>
        </w:rPr>
        <w:t>本微专业独立开班，学制</w:t>
      </w:r>
      <w:r>
        <w:rPr>
          <w:rFonts w:hint="eastAsia" w:ascii="仿宋" w:hAnsi="仿宋" w:eastAsia="仿宋" w:cs="仿宋"/>
          <w:sz w:val="32"/>
          <w:szCs w:val="32"/>
          <w:lang w:eastAsia="zh-CN"/>
          <w14:ligatures w14:val="none"/>
        </w:rPr>
        <w:t>一</w:t>
      </w:r>
      <w:r>
        <w:rPr>
          <w:rFonts w:hint="eastAsia" w:ascii="仿宋" w:hAnsi="仿宋" w:eastAsia="仿宋" w:cs="仿宋"/>
          <w:sz w:val="32"/>
          <w:szCs w:val="32"/>
          <w14:ligatures w14:val="none"/>
        </w:rPr>
        <w:t>年，利用课余时间授课。线上线下混合式授课。</w:t>
      </w:r>
    </w:p>
    <w:p w14:paraId="4CC6833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六、学分认定与证书授予</w:t>
      </w:r>
    </w:p>
    <w:p w14:paraId="76A3B27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学生完成微专业培养方案规定的课程并达到学习要求，由微专业所在学院审核后提出结业名单，报教务处备案，由教务处统一颁发结业证书和成绩单；微专业是非学历教育，不授予学位。</w:t>
      </w:r>
    </w:p>
    <w:p w14:paraId="0102338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七、微专业课程</w:t>
      </w:r>
    </w:p>
    <w:p w14:paraId="4C7FBA2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（一）课程设置及学时分配表</w:t>
      </w:r>
    </w:p>
    <w:tbl>
      <w:tblPr>
        <w:tblStyle w:val="15"/>
        <w:tblW w:w="5000" w:type="pct"/>
        <w:jc w:val="center"/>
        <w:tblLayout w:type="autofit"/>
        <w:tblCellMar>
          <w:top w:w="0" w:type="dxa"/>
          <w:left w:w="0" w:type="dxa"/>
          <w:bottom w:w="0" w:type="dxa"/>
          <w:right w:w="0" w:type="dxa"/>
        </w:tblCellMar>
      </w:tblPr>
      <w:tblGrid>
        <w:gridCol w:w="875"/>
        <w:gridCol w:w="2647"/>
        <w:gridCol w:w="1032"/>
        <w:gridCol w:w="1114"/>
        <w:gridCol w:w="1409"/>
        <w:gridCol w:w="1535"/>
      </w:tblGrid>
      <w:tr w14:paraId="5E5D96B6">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154A87">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D8F29C">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E03525">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63AA8D">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92C274">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3AD72D">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4CED6B74">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6BBB4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FB7F1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0" w:name="_Hlk168565787"/>
            <w:bookmarkEnd w:id="0"/>
            <w:r>
              <w:rPr>
                <w:rFonts w:hint="eastAsia" w:ascii="仿宋" w:hAnsi="仿宋" w:eastAsia="仿宋" w:cs="仿宋"/>
                <w:color w:val="auto"/>
                <w:sz w:val="24"/>
                <w:szCs w:val="24"/>
                <w:lang w:val="en-US" w:eastAsia="zh-CN"/>
                <w14:ligatures w14:val="none"/>
              </w:rPr>
              <w:t>运动健康促进导论</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482E7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2C38A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86C81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B62D1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25F21B72">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402AA4">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B0A5D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运动解剖与生理基础</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D67E1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B0550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BAE67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28B69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077394F0">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13B4A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06A5D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运动营养与膳食</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14F8E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9DA0E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331988">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676AA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0644A80F">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256FD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413F5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运动塑形与体态纠正</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2890C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45F7E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44572D">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D10F4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5F63B899">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F00BF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5</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06AA6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1" w:name="_Hlk168565965"/>
            <w:bookmarkEnd w:id="1"/>
            <w:r>
              <w:rPr>
                <w:rFonts w:hint="eastAsia" w:ascii="仿宋" w:hAnsi="仿宋" w:eastAsia="仿宋" w:cs="仿宋"/>
                <w:color w:val="auto"/>
                <w:sz w:val="24"/>
                <w:szCs w:val="24"/>
                <w:lang w:val="en-US" w:eastAsia="zh-CN"/>
                <w14:ligatures w14:val="none"/>
              </w:rPr>
              <w:t>健康体重管理</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C46F24">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E8684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F47DF4">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90ADAF">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5572D13A">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ADB99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6</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B666BF">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运动处方与健康评估</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907564">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F46C8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F4196F">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809F7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7EE393A0">
        <w:tblPrEx>
          <w:tblCellMar>
            <w:top w:w="0" w:type="dxa"/>
            <w:left w:w="0" w:type="dxa"/>
            <w:bottom w:w="0" w:type="dxa"/>
            <w:right w:w="0" w:type="dxa"/>
          </w:tblCellMar>
        </w:tblPrEx>
        <w:trPr>
          <w:trHeight w:val="170" w:hRule="atLeast"/>
          <w:jc w:val="center"/>
        </w:trPr>
        <w:tc>
          <w:tcPr>
            <w:tcW w:w="5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D189F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7</w:t>
            </w:r>
          </w:p>
        </w:tc>
        <w:tc>
          <w:tcPr>
            <w:tcW w:w="15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A6B82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2" w:name="_Hlk168566011"/>
            <w:bookmarkEnd w:id="2"/>
            <w:r>
              <w:rPr>
                <w:rFonts w:hint="eastAsia" w:ascii="仿宋" w:hAnsi="仿宋" w:eastAsia="仿宋" w:cs="仿宋"/>
                <w:color w:val="auto"/>
                <w:sz w:val="24"/>
                <w:szCs w:val="24"/>
                <w:lang w:val="en-US" w:eastAsia="zh-CN"/>
                <w14:ligatures w14:val="none"/>
              </w:rPr>
              <w:t>健康管理综合实践</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F3677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w:t>
            </w:r>
          </w:p>
        </w:tc>
        <w:tc>
          <w:tcPr>
            <w:tcW w:w="6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D51C2B">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A67297">
            <w:pPr>
              <w:snapToGrid w:val="0"/>
              <w:spacing w:after="0" w:line="240" w:lineRule="auto"/>
              <w:ind w:left="0" w:leftChars="0" w:right="0" w:rightChars="0" w:firstLine="0" w:firstLineChars="0"/>
              <w:jc w:val="center"/>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86E3F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bl>
    <w:p w14:paraId="5DDF00D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（二）课程简介</w:t>
      </w:r>
    </w:p>
    <w:p w14:paraId="4F30DCA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1.运动健康促进导论</w:t>
      </w:r>
    </w:p>
    <w:p w14:paraId="208CC4C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系统介绍运动健康促进的基本概念、发展历程、理论框架和实践应用。课程内容涵盖健康的多维度定义、运动与健康的科学关系、国内外运动健康促进的政策与实践、健康行为改变理论与方法等。通过本课程学习，学生将建立系统的运动健康观念，了解本微专业的知识体系和能力培养目标，为后续课程学习奠定基础。</w:t>
      </w:r>
    </w:p>
    <w:p w14:paraId="5365302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2.运动解剖与生理基础</w:t>
      </w:r>
    </w:p>
    <w:p w14:paraId="6BF419C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主要包括运动科学的生物学基础知识，重点讲授与运动健康管理密切相关的人体解剖学和运动生理学核心内容。课程采用“结构-功能-应用”的教学逻辑，帮助学生理解人体运动系统的构造特点、运动时的生理反应与适应机制，以及不同运动方式对身体成分、代谢功能的影响原理。本课程为后续的运动塑形、运动处方等课程提供必要的理论支撑。</w:t>
      </w:r>
    </w:p>
    <w:p w14:paraId="0E8F00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3.运动营养与膳食</w:t>
      </w:r>
    </w:p>
    <w:p w14:paraId="06B7982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从运动营养学角度，系统讲授营养素与运动表现的关系、不同运动目标下的膳食策略、运动补剂的科学认知与合理使用、个性化膳食方案的制定方法等内容。课程强调“食物优先”原则，教授学生根据不同的健康目标（减脂、增肌、提升体能等）设计合理的膳食方案，并能够批判性评价市场上各类营养产品的宣传。</w:t>
      </w:r>
    </w:p>
    <w:p w14:paraId="1E4E310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4.运动塑形与体态纠正</w:t>
      </w:r>
    </w:p>
    <w:p w14:paraId="0A0D814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针对大学生改善身体形态、优化体态姿势的需求，系统讲授运动塑形的科学原理和实践技术。课程内容包括身体成分与形态美学、抗阻训练原理与动作技术、常见体态问题（如圆肩驼背、骨盆前倾等）的评估与矫正、不同身体部位的针对性训练方法等。通过大量实操练习，学生将掌握科学的塑形训练技能，并能够为他人提供体态评估和改善建议。</w:t>
      </w:r>
    </w:p>
    <w:p w14:paraId="432460B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5.健康体重管理</w:t>
      </w:r>
    </w:p>
    <w:p w14:paraId="739FB1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聚焦当代大学生普遍关注的体重管理问题，从科学角度系统讲授健康体重的评判标准、超重肥胖的成因机制、科学减脂的原理与方法、体重管理的长期策略等内容。课程特别强调“健康减重”理念，批判性分析流行的减肥误区，教授学生运用运动与饮食相结合的方式实现可持续的体重管理。实践环节包括个人体重管理方案的制定与实施。</w:t>
      </w:r>
    </w:p>
    <w:p w14:paraId="164E955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6.运动处方与健康评估</w:t>
      </w:r>
    </w:p>
    <w:p w14:paraId="2913BC8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是微专业的核心整合课程，系统讲授健康体适能评估方法、运动风险筛查、运动处方制定原则与技术、特殊人群运动指导等内容。学生将学习使用标准化工具进行体适能测试和健康风险评估，掌握针对不同健康状况和运动目标制定个性化运动处方的能力。本课程强调循证实践，培养学生的专业判断能力和健康指导技能。</w:t>
      </w:r>
    </w:p>
    <w:p w14:paraId="7534CB5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7.健康管理综合实践</w:t>
      </w:r>
    </w:p>
    <w:p w14:paraId="056A380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课程是微专业的综合实践环节，采用“项目制学习+真实情境实践”的模式，要求学生综合运用所学知识，完成一个完整的健康管理实践项目。项目形式包括：为真实客户提供健康管理服务、设计并实施小型健康促进活动、开发健康管理产品或方案等。通过本课程，学生将整合所学知识技能，提升解决实际问题的综合能力，并为职业发展积累实践经验。</w:t>
      </w:r>
    </w:p>
    <w:p w14:paraId="5964367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八、报名和咨询</w:t>
      </w:r>
    </w:p>
    <w:p w14:paraId="1DDF348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有意报名的同学请加微信群，下载填写《江苏师范大学学生微专业申请表》，并于3月</w:t>
      </w:r>
      <w:r>
        <w:rPr>
          <w:rFonts w:hint="eastAsia" w:ascii="仿宋" w:hAnsi="仿宋" w:eastAsia="仿宋" w:cs="仿宋"/>
          <w:sz w:val="32"/>
          <w:szCs w:val="32"/>
          <w:lang w:val="en-US" w:eastAsia="zh-CN"/>
          <w14:ligatures w14:val="none"/>
        </w:rPr>
        <w:t>20</w:t>
      </w:r>
      <w:r>
        <w:rPr>
          <w:rFonts w:hint="eastAsia" w:ascii="仿宋" w:hAnsi="仿宋" w:eastAsia="仿宋" w:cs="仿宋"/>
          <w:sz w:val="32"/>
          <w:szCs w:val="32"/>
          <w14:ligatures w14:val="none"/>
        </w:rPr>
        <w:t>日17</w:t>
      </w: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00</w:t>
      </w:r>
      <w:r>
        <w:rPr>
          <w:rFonts w:hint="eastAsia" w:ascii="仿宋" w:hAnsi="仿宋" w:eastAsia="仿宋" w:cs="仿宋"/>
          <w:sz w:val="32"/>
          <w:szCs w:val="32"/>
          <w14:ligatures w14:val="none"/>
        </w:rPr>
        <w:t>前报送至游泳馆204。</w:t>
      </w:r>
    </w:p>
    <w:p w14:paraId="16EECCC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工作咨询、联系人：(0516) 83656659 钱老师。</w:t>
      </w:r>
    </w:p>
    <w:p w14:paraId="6231B3F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微信群二维码：</w:t>
      </w:r>
    </w:p>
    <w:p w14:paraId="27D12EB8">
      <w:pPr>
        <w:jc w:val="center"/>
        <w:rPr>
          <w:rFonts w:hint="eastAsia"/>
          <w:color w:val="EE0000"/>
        </w:rPr>
      </w:pPr>
      <w:bookmarkStart w:id="3" w:name="_GoBack"/>
      <w:r>
        <w:rPr>
          <w:color w:val="EE0000"/>
        </w:rPr>
        <w:drawing>
          <wp:inline distT="0" distB="0" distL="0" distR="0">
            <wp:extent cx="3683000" cy="3771900"/>
            <wp:effectExtent l="0" t="0" r="0" b="0"/>
            <wp:docPr id="19220565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56573"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83000" cy="3771900"/>
                    </a:xfrm>
                    <a:prstGeom prst="rect">
                      <a:avLst/>
                    </a:prstGeom>
                    <a:noFill/>
                    <a:ln>
                      <a:noFill/>
                    </a:ln>
                  </pic:spPr>
                </pic:pic>
              </a:graphicData>
            </a:graphic>
          </wp:inline>
        </w:drawing>
      </w:r>
      <w:bookmarkEnd w:id="3"/>
    </w:p>
    <w:p w14:paraId="190B914D">
      <w:pPr>
        <w:rPr>
          <w:rFonts w:hint="eastAsia"/>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638808-1260-48D7-932E-DB61520741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C61B740A-5F90-4861-977A-87C8955E1B5A}"/>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BABAE348-0C95-49DD-B446-25E160FCB214}"/>
  </w:font>
  <w:font w:name="仿宋">
    <w:panose1 w:val="02010609060101010101"/>
    <w:charset w:val="86"/>
    <w:family w:val="auto"/>
    <w:pitch w:val="default"/>
    <w:sig w:usb0="800002BF" w:usb1="38CF7CFA" w:usb2="00000016" w:usb3="00000000" w:csb0="00040001" w:csb1="00000000"/>
    <w:embedRegular r:id="rId4" w:fontKey="{2749CD3E-FAAA-42DD-916B-6FC4DE515BDF}"/>
  </w:font>
  <w:font w:name="楷体">
    <w:panose1 w:val="02010609060101010101"/>
    <w:charset w:val="86"/>
    <w:family w:val="auto"/>
    <w:pitch w:val="default"/>
    <w:sig w:usb0="800002BF" w:usb1="38CF7CFA" w:usb2="00000016" w:usb3="00000000" w:csb0="00040001" w:csb1="00000000"/>
    <w:embedRegular r:id="rId5" w:fontKey="{DC98CAE7-D15D-449E-8A91-A4471A6AA322}"/>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YzU1ZTcwZWZlMGFjODY3NDMwODhlZmEzOGJhNDkifQ=="/>
  </w:docVars>
  <w:rsids>
    <w:rsidRoot w:val="008A2774"/>
    <w:rsid w:val="000213B2"/>
    <w:rsid w:val="0017604F"/>
    <w:rsid w:val="00190FDB"/>
    <w:rsid w:val="001A1EC7"/>
    <w:rsid w:val="002C02D8"/>
    <w:rsid w:val="003F2577"/>
    <w:rsid w:val="004145C0"/>
    <w:rsid w:val="00463EA9"/>
    <w:rsid w:val="00570EED"/>
    <w:rsid w:val="0057457F"/>
    <w:rsid w:val="00630A57"/>
    <w:rsid w:val="00767FE9"/>
    <w:rsid w:val="0078492C"/>
    <w:rsid w:val="007B63D6"/>
    <w:rsid w:val="007F3A52"/>
    <w:rsid w:val="007F5855"/>
    <w:rsid w:val="008A2774"/>
    <w:rsid w:val="008D63AC"/>
    <w:rsid w:val="00904732"/>
    <w:rsid w:val="009613C3"/>
    <w:rsid w:val="0097712C"/>
    <w:rsid w:val="009A32D1"/>
    <w:rsid w:val="009B5B37"/>
    <w:rsid w:val="00A137DC"/>
    <w:rsid w:val="00A7795B"/>
    <w:rsid w:val="00B21122"/>
    <w:rsid w:val="00BB588D"/>
    <w:rsid w:val="00C900F4"/>
    <w:rsid w:val="00D05706"/>
    <w:rsid w:val="00DA1402"/>
    <w:rsid w:val="00DC6247"/>
    <w:rsid w:val="00E85A10"/>
    <w:rsid w:val="0E9E3389"/>
    <w:rsid w:val="33260700"/>
    <w:rsid w:val="35D322F9"/>
    <w:rsid w:val="3C14621A"/>
    <w:rsid w:val="49AD34D2"/>
    <w:rsid w:val="4C7C718B"/>
    <w:rsid w:val="556D3B35"/>
    <w:rsid w:val="56B55774"/>
    <w:rsid w:val="5726727B"/>
    <w:rsid w:val="624807D6"/>
    <w:rsid w:val="680D1C4F"/>
    <w:rsid w:val="6B76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3782</Words>
  <Characters>3843</Characters>
  <Lines>28</Lines>
  <Paragraphs>7</Paragraphs>
  <TotalTime>36</TotalTime>
  <ScaleCrop>false</ScaleCrop>
  <LinksUpToDate>false</LinksUpToDate>
  <CharactersWithSpaces>3870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2026-02-05T09:46:00Z</dcterms:created>
  <dc:creator>永乐 李</dc:creator>
  <cp:lastModifiedBy>灵灵</cp:lastModifiedBy>
  <dcterms:modified xsi:type="dcterms:W3CDTF">2026-03-14T08:28:11Z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A53B5112697847908532554A2AEF0572_12</vt:lpwstr>
  </property>
  <property fmtid="{D5CDD505-2E9C-101B-9397-08002B2CF9AE}" pid="4" name="KSOTemplateDocerSaveRecord">
    <vt:lpwstr>eyJoZGlkIjoiNjViZjBlZjA5Nzk0Yzk2NDE1NzcyZjQ5ZmIwNjczYzkiLCJ1c2VySWQiOiI0OTA3MDkzODMifQ==</vt:lpwstr>
  </property>
</Properties>
</file>