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77F2">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江苏师范大学“数智文创设计与运营”</w:t>
      </w:r>
    </w:p>
    <w:p w14:paraId="28C222B2">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微专业2026年招生简章</w:t>
      </w:r>
    </w:p>
    <w:p w14:paraId="3AB9BE7C"/>
    <w:p w14:paraId="02CD8141">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一、微专业介绍</w:t>
      </w:r>
    </w:p>
    <w:p w14:paraId="70302A1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pPr>
      <w:r>
        <w:rPr>
          <w:rFonts w:hint="eastAsia" w:ascii="仿宋" w:hAnsi="仿宋" w:eastAsia="仿宋" w:cs="仿宋"/>
          <w:sz w:val="32"/>
          <w:szCs w:val="32"/>
          <w14:ligatures w14:val="none"/>
        </w:rPr>
        <w:t>“数智文创设计与运营”微专业由江苏师范大学美术学院主办，紧扣数字文创产业高质量发展需求，以“文化传承为根基、数字技术为驱动、市场需求为导向”构建系统化培养体系。本微专业兼顾理论与实践双向融合，遵循“理论奠基、技术支撑、项目驱动”的培养逻辑，打造阶梯式培养路径，致力于培养具备文化理解力、数字技术应用能力、商业思维与实践能力的复合型文创人才，助力学生提升就业竞争力，推动文化数智化活化传播与文创产业创新发展。</w:t>
      </w:r>
    </w:p>
    <w:p w14:paraId="02CAA47F">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二、培养目标</w:t>
      </w:r>
    </w:p>
    <w:p w14:paraId="3315593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0"/>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（一）培养方向</w:t>
      </w:r>
    </w:p>
    <w:p w14:paraId="47AF012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面向数字文创、IP开发、文旅融合等领域，培养能够熟练运用数字技术挖掘文化内涵，设计符合市场需求的文创产品、数字内容，具备全链条项目策划与成果转化能力的复合型人才，助力地方文化产业升级与中华优秀传统文化传承。</w:t>
      </w:r>
    </w:p>
    <w:p w14:paraId="1FCC03E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0"/>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（二）培养模式</w:t>
      </w:r>
    </w:p>
    <w:p w14:paraId="70BF248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1.特色课程设计</w:t>
      </w:r>
    </w:p>
    <w:p w14:paraId="6FE997A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模块化课程结构：构建“文化认知+数字技术+商业实践”三大模块化课程体系，衔接紧密、层层递进。第一学期聚焦文化认知与理论奠基，夯实文化与数字基础；第二学期聚焦市场导向与商业实践，强化项目实战与成果转化，实现理论学习与产业需求无缝衔接。</w:t>
      </w:r>
    </w:p>
    <w:p w14:paraId="6F6AB8B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前沿技术课程：融入数据可视化、跨媒介叙事等前沿数字技术内容，配套数字设计工具实训，培养学生运用数字化手段处理文化数据、创作数字文创内容的核心技能，适配文创产业数字化转型趋势。</w:t>
      </w:r>
    </w:p>
    <w:p w14:paraId="6C3CBAA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2.实践与创新</w:t>
      </w:r>
    </w:p>
    <w:p w14:paraId="70D1ED8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（1）项目驱动：以真实项目为核心开展教学，引入文化相关设计大赛项目、文创IP孵化项目，引导学生组建跨学科团队，在项目执行中巩固理论知识、提升实践能力，培养创新思维与问题解决能力。</w:t>
      </w:r>
    </w:p>
    <w:p w14:paraId="4092A29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企业项目实训：采用“行业导师+校内教师”双指导模式，联合本地文创龙头企业、设计机构开展企业项目实训，组织学生进入产业一线参与实习，模拟真实产业环境，提升学生项目策划、执行与市场化适配能力，实现“学研产”闭环。</w:t>
      </w:r>
    </w:p>
    <w:p w14:paraId="54757F5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创新创业支持：搭建微专业创新创业孵化平台，为学生提供场地、设备、技术指导与资金对接服务；设立创新创业补贴，鼓励学生将课程成果、设计创意转化为专利、市场化产品，支持学生参与各类创新创业大赛，助力学生实现创业梦想。</w:t>
      </w:r>
    </w:p>
    <w:p w14:paraId="3AA3BED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3.综合素质培养</w:t>
      </w:r>
    </w:p>
    <w:p w14:paraId="36DD36D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注重学生团队协作、沟通表达、创新思维与抗压能力的培养，通过小组项目、主题研讨、行业交流、田野调查等活动，提升学生综合素养，适配职场对复合型人才的全面要求。</w:t>
      </w:r>
    </w:p>
    <w:p w14:paraId="5F8CBB4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0"/>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（三）培养要求</w:t>
      </w:r>
    </w:p>
    <w:p w14:paraId="34FA6ED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1.理论基础</w:t>
      </w:r>
    </w:p>
    <w:p w14:paraId="067AD6D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掌握文化核心内涵、文化创意产品设计基本理论、用户研究与设计心理相关知识；了解数字文创产业发展趋势、行业标准与相关政策；掌握数字内容生产等基础理论，形成系统的知识体系。</w:t>
      </w:r>
    </w:p>
    <w:p w14:paraId="3191D54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2.实践能力</w:t>
      </w:r>
    </w:p>
    <w:p w14:paraId="42B085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能够熟练运用数字设计工具、数据处理软件开展文创产品设计、数字内容创作；具备文化符号的现代转译与创新设计能力；能够独立完成项目策划、执行与复盘，具备较强的项目实战与成果转化能力。</w:t>
      </w:r>
    </w:p>
    <w:p w14:paraId="08FE3E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3.市场与政策</w:t>
      </w:r>
    </w:p>
    <w:p w14:paraId="1CB11E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市场与政策：具备敏锐的市场洞察力，能够精准把握文创产品市场需求与发展趋势；了解文化产业相关政策法规，熟悉IP开发、版权运营的基本规则，能够设计符合市场需求与政策导向的文创作品。</w:t>
      </w:r>
    </w:p>
    <w:p w14:paraId="51EED8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4.社会责任与职业道德</w:t>
      </w:r>
    </w:p>
    <w:p w14:paraId="076011A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树立文化自信，自觉承担中华优秀传统文化传承与传播的社会责任；恪守设计行业职业道德，坚守原创理念，尊重知识产权，培养严谨务实、诚信创新的职业素养。</w:t>
      </w:r>
    </w:p>
    <w:p w14:paraId="0B90FE0C">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三、专业特色</w:t>
      </w:r>
    </w:p>
    <w:p w14:paraId="546EBA72">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（一）前沿课程设置</w:t>
      </w:r>
    </w:p>
    <w:p w14:paraId="36F3881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lang w:val="en-US" w:eastAsia="zh-CN"/>
          <w14:ligatures w14:val="none"/>
        </w:rPr>
        <w:t>聚焦数智化时代产业需</w:t>
      </w:r>
      <w:r>
        <w:rPr>
          <w:rFonts w:hint="eastAsia" w:ascii="仿宋" w:hAnsi="仿宋" w:eastAsia="仿宋" w:cs="仿宋"/>
          <w:sz w:val="32"/>
          <w:szCs w:val="32"/>
          <w14:ligatures w14:val="none"/>
        </w:rPr>
        <w:t>求，将数字技术与文化、文创设计深度融合，课程内容实时更新，涵盖IP开发、跨媒介叙事等前沿内容，兼顾理论性与实用性，打造差异化课程优势。</w:t>
      </w:r>
    </w:p>
    <w:p w14:paraId="37B80084">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（二）实践导向</w:t>
      </w:r>
    </w:p>
    <w:p w14:paraId="28F8A9F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以项目驱动为核心，深化“学研产”融合，引入真实企业项目与行业导师资源，强化实践实训环节，打破课堂与产业壁垒，让学生在实战中提升能力，实现“学习即实践、毕业即适配”。</w:t>
      </w:r>
    </w:p>
    <w:p w14:paraId="669D0C52">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仿宋" w:hAnsi="仿宋" w:eastAsia="仿宋" w:cs="仿宋"/>
          <w:sz w:val="32"/>
          <w:szCs w:val="32"/>
          <w14:ligatures w14:val="none"/>
        </w:rPr>
      </w:pPr>
      <w:r>
        <w:rPr>
          <w:rFonts w:hint="eastAsia" w:ascii="楷体" w:hAnsi="楷体" w:eastAsia="楷体" w:cs="楷体"/>
          <w:b w:val="0"/>
          <w:bCs w:val="0"/>
          <w:sz w:val="32"/>
          <w:szCs w:val="32"/>
          <w:lang w:val="en-US" w:eastAsia="zh-CN"/>
          <w14:ligatures w14:val="none"/>
        </w:rPr>
        <w:t>（三）跨学科融合</w:t>
      </w:r>
    </w:p>
    <w:p w14:paraId="31EE8A5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整合美术设计、数字技术、文旅管理、商业运营等跨学科资源，组建跨学科教学与项目团队，培养学生多维度思维，助力学生成为“文化+技术+商业”的复合型人才，适配多领域就业需求。</w:t>
      </w:r>
    </w:p>
    <w:p w14:paraId="273E22AB">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（四）社会责任与可持续发展</w:t>
      </w:r>
    </w:p>
    <w:p w14:paraId="15C4C5A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立足文化传承与地方产业发展需求，将文化自信培养融入教学全过程，引导学生通过数智设计助力传统文化活化传播，实现人才培养、文化传承与产业发展的可持续共赢。</w:t>
      </w:r>
    </w:p>
    <w:p w14:paraId="38DF4EBE">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四、资源保障</w:t>
      </w:r>
    </w:p>
    <w:p w14:paraId="69DC95E7">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（一）教学团队</w:t>
      </w:r>
    </w:p>
    <w:p w14:paraId="4E6FB8A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组建“校内骨干+行业专家”双师双能型教学团队，校内教师均为深耕文化研究、数字设计、文创教学的骨干教师，具备扎实的理论功底与教学经验；行业导师均来自文创龙头企业、设计机构，涵盖IP运营、品牌管理、数字文创等领域，提供专业的实践指导。</w:t>
      </w:r>
    </w:p>
    <w:p w14:paraId="2F0CA50F">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（二）课程资源</w:t>
      </w:r>
    </w:p>
    <w:p w14:paraId="1324EC9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建设微专业专属教学资源库，涵盖文化素材、数字设计案例、教学课件、行业标准等内容；配备完善的数字设计实验室、文创设计工坊，提供齐全的数字设计工具与实训设备；依托线上教学平台，实现线上线下混合式教学，为学生提供便捷的学习资源。</w:t>
      </w:r>
    </w:p>
    <w:p w14:paraId="0A963DC5">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（三）创新创业平台</w:t>
      </w:r>
    </w:p>
    <w:p w14:paraId="7EE22EB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依托学院现有实践基地，联合本地文创企业、文旅单位共建“教学-实训-孵化”一体化平台；设立创新创业孵化中心，为学生提供项目孵化、技术指导、资金对接、大赛推送等全方位支持，助力学生创新创业。</w:t>
      </w:r>
    </w:p>
    <w:p w14:paraId="462854FD">
      <w:pPr>
        <w:keepNext w:val="0"/>
        <w:keepLines w:val="0"/>
        <w:pageBreakBefore w:val="0"/>
        <w:widowControl/>
        <w:kinsoku/>
        <w:wordWrap/>
        <w:overflowPunct/>
        <w:topLinePunct w:val="0"/>
        <w:autoSpaceDE/>
        <w:autoSpaceDN/>
        <w:bidi w:val="0"/>
        <w:adjustRightInd w:val="0"/>
        <w:snapToGrid/>
        <w:spacing w:after="0" w:line="576" w:lineRule="exact"/>
        <w:ind w:left="0" w:leftChars="0" w:firstLine="480" w:firstLineChars="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（四）学术资源</w:t>
      </w:r>
    </w:p>
    <w:p w14:paraId="145154A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深化与徐州博物馆、汉文化景区等文旅单位合作，提供丰富的文化研学与田野调查资源；整合校内跨学科学术资源，定期邀请行业专家、学术大咖开展专题讲座、学术交流活动，拓宽学生学术视野。</w:t>
      </w:r>
    </w:p>
    <w:p w14:paraId="0F28CC2E">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五、招生对象及条件</w:t>
      </w:r>
    </w:p>
    <w:p w14:paraId="2B2DC7D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0"/>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（一）招生对象：</w:t>
      </w:r>
    </w:p>
    <w:p w14:paraId="1657853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江苏师范大学在校一、二、三年级本科生（不限专业，美术设计、数字媒体、计算机、文旅管理、汉语言文学等相关专业学生优先），以及有条件的研究生，热爱文化创意产业、对文化与数智设计有浓厚兴趣。</w:t>
      </w:r>
    </w:p>
    <w:p w14:paraId="369ED5E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sz w:val="32"/>
          <w:szCs w:val="32"/>
          <w:lang w:val="en-US" w:eastAsia="zh-CN"/>
          <w14:ligatures w14:val="none"/>
        </w:rPr>
        <w:t>（二）计划招生人数：</w:t>
      </w:r>
      <w:r>
        <w:rPr>
          <w:rFonts w:hint="eastAsia" w:ascii="仿宋" w:hAnsi="仿宋" w:eastAsia="仿宋" w:cs="仿宋"/>
          <w:sz w:val="32"/>
          <w:szCs w:val="32"/>
          <w:lang w:val="en-US" w:eastAsia="zh-CN"/>
          <w14:ligatures w14:val="none"/>
        </w:rPr>
        <w:t>计划招生40人（可根据报名情况适当调整）</w:t>
      </w:r>
    </w:p>
    <w:p w14:paraId="068155A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sz w:val="32"/>
          <w:szCs w:val="32"/>
          <w:lang w:val="en-US" w:eastAsia="zh-CN"/>
          <w14:ligatures w14:val="none"/>
        </w:rPr>
        <w:t>（三）学制、学分：</w:t>
      </w:r>
      <w:r>
        <w:rPr>
          <w:rFonts w:hint="eastAsia" w:ascii="仿宋" w:hAnsi="仿宋" w:eastAsia="仿宋" w:cs="仿宋"/>
          <w:sz w:val="32"/>
          <w:szCs w:val="32"/>
          <w:lang w:val="en-US" w:eastAsia="zh-CN"/>
          <w14:ligatures w14:val="none"/>
        </w:rPr>
        <w:t>学制1年（2个学期），总学分8学分</w:t>
      </w:r>
    </w:p>
    <w:p w14:paraId="2AC0249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sz w:val="32"/>
          <w:szCs w:val="32"/>
          <w:lang w:val="en-US" w:eastAsia="zh-CN"/>
          <w14:ligatures w14:val="none"/>
        </w:rPr>
        <w:t>（四）收费标准：</w:t>
      </w:r>
      <w:r>
        <w:rPr>
          <w:rFonts w:hint="eastAsia" w:ascii="仿宋" w:hAnsi="仿宋" w:eastAsia="仿宋" w:cs="仿宋"/>
          <w:sz w:val="32"/>
          <w:szCs w:val="32"/>
          <w:lang w:val="en-US" w:eastAsia="zh-CN"/>
          <w14:ligatures w14:val="none"/>
        </w:rPr>
        <w:t>80元/分，合计640元</w:t>
      </w:r>
    </w:p>
    <w:p w14:paraId="28477EE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sz w:val="32"/>
          <w:szCs w:val="32"/>
          <w:lang w:val="en-US" w:eastAsia="zh-CN"/>
          <w14:ligatures w14:val="none"/>
        </w:rPr>
        <w:t>（五）授课方式：</w:t>
      </w:r>
      <w:r>
        <w:rPr>
          <w:rFonts w:hint="eastAsia" w:ascii="仿宋" w:hAnsi="仿宋" w:eastAsia="仿宋" w:cs="仿宋"/>
          <w:sz w:val="32"/>
          <w:szCs w:val="32"/>
          <w:lang w:val="en-US" w:eastAsia="zh-CN"/>
          <w14:ligatures w14:val="none"/>
        </w:rPr>
        <w:t>本微专业独立开班，学制一年，利用课余时间授课。线上线下混合式授课。</w:t>
      </w:r>
    </w:p>
    <w:p w14:paraId="59DD4966">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六、学分认定与证书授予</w:t>
      </w:r>
    </w:p>
    <w:p w14:paraId="5285189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color w:val="000000" w:themeColor="text1"/>
          <w14:textFill>
            <w14:solidFill>
              <w14:schemeClr w14:val="tx1"/>
            </w14:solidFill>
          </w14:textFill>
        </w:rPr>
      </w:pPr>
      <w:r>
        <w:rPr>
          <w:rFonts w:hint="eastAsia" w:ascii="仿宋" w:hAnsi="仿宋" w:eastAsia="仿宋" w:cs="仿宋"/>
          <w:sz w:val="32"/>
          <w:szCs w:val="32"/>
          <w:lang w:val="en-US" w:eastAsia="zh-CN"/>
          <w14:ligatures w14:val="none"/>
        </w:rPr>
        <w:t>学生完成微专业培养方案规定的课程并达到学习要求，由美术学院审核后提出结业名单，报教务处备案，由教务处统一颁发结业证书和成绩单；微专业是非学历教育，不授予学位。</w:t>
      </w:r>
    </w:p>
    <w:p w14:paraId="0994C5A6">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七、微专业课程</w:t>
      </w:r>
    </w:p>
    <w:p w14:paraId="2B6F14A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0"/>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（一）课程设置及学时分配表</w:t>
      </w:r>
    </w:p>
    <w:tbl>
      <w:tblPr>
        <w:tblStyle w:val="13"/>
        <w:tblW w:w="4749" w:type="pct"/>
        <w:jc w:val="center"/>
        <w:tblLayout w:type="autofit"/>
        <w:tblCellMar>
          <w:top w:w="0" w:type="dxa"/>
          <w:left w:w="0" w:type="dxa"/>
          <w:bottom w:w="0" w:type="dxa"/>
          <w:right w:w="0" w:type="dxa"/>
        </w:tblCellMar>
      </w:tblPr>
      <w:tblGrid>
        <w:gridCol w:w="821"/>
        <w:gridCol w:w="3438"/>
        <w:gridCol w:w="802"/>
        <w:gridCol w:w="1113"/>
        <w:gridCol w:w="958"/>
        <w:gridCol w:w="1048"/>
      </w:tblGrid>
      <w:tr w14:paraId="1CF0DAAD">
        <w:tblPrEx>
          <w:tblCellMar>
            <w:top w:w="0" w:type="dxa"/>
            <w:left w:w="0" w:type="dxa"/>
            <w:bottom w:w="0" w:type="dxa"/>
            <w:right w:w="0" w:type="dxa"/>
          </w:tblCellMar>
        </w:tblPrEx>
        <w:trPr>
          <w:trHeight w:val="521" w:hRule="atLeast"/>
          <w:jc w:val="center"/>
        </w:trPr>
        <w:tc>
          <w:tcPr>
            <w:tcW w:w="50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0A064D">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210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A0A358">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4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A74BF9">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6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1A639A">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6BE41D">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6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02351C">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w:t>
            </w:r>
          </w:p>
          <w:p w14:paraId="421AE5DB">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性质</w:t>
            </w:r>
          </w:p>
        </w:tc>
      </w:tr>
      <w:tr w14:paraId="584D328A">
        <w:tblPrEx>
          <w:tblCellMar>
            <w:top w:w="0" w:type="dxa"/>
            <w:left w:w="0" w:type="dxa"/>
            <w:bottom w:w="0" w:type="dxa"/>
            <w:right w:w="0" w:type="dxa"/>
          </w:tblCellMar>
        </w:tblPrEx>
        <w:trPr>
          <w:trHeight w:val="594" w:hRule="atLeast"/>
          <w:jc w:val="center"/>
        </w:trPr>
        <w:tc>
          <w:tcPr>
            <w:tcW w:w="50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01E9B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210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20F4E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0" w:name="_Hlk168565787"/>
            <w:bookmarkEnd w:id="0"/>
            <w:r>
              <w:rPr>
                <w:rFonts w:hint="eastAsia" w:ascii="仿宋" w:hAnsi="仿宋" w:eastAsia="仿宋" w:cs="仿宋"/>
                <w:color w:val="auto"/>
                <w:sz w:val="24"/>
                <w:szCs w:val="24"/>
                <w:lang w:val="en-US" w:eastAsia="zh-CN"/>
                <w14:ligatures w14:val="none"/>
              </w:rPr>
              <w:t>智能设计工具与文创</w:t>
            </w:r>
          </w:p>
          <w:p w14:paraId="676F637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数字化制作</w:t>
            </w:r>
          </w:p>
        </w:tc>
        <w:tc>
          <w:tcPr>
            <w:tcW w:w="4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4804EE">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F1EE7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56E49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6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8C2AA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33196DC5">
        <w:tblPrEx>
          <w:tblCellMar>
            <w:top w:w="0" w:type="dxa"/>
            <w:left w:w="0" w:type="dxa"/>
            <w:bottom w:w="0" w:type="dxa"/>
            <w:right w:w="0" w:type="dxa"/>
          </w:tblCellMar>
        </w:tblPrEx>
        <w:trPr>
          <w:trHeight w:val="522" w:hRule="atLeast"/>
          <w:jc w:val="center"/>
        </w:trPr>
        <w:tc>
          <w:tcPr>
            <w:tcW w:w="50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98CB4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210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4BC036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数字文创IP设计与视觉表达</w:t>
            </w:r>
          </w:p>
        </w:tc>
        <w:tc>
          <w:tcPr>
            <w:tcW w:w="4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DBED6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30220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9524B4">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5</w:t>
            </w:r>
          </w:p>
        </w:tc>
        <w:tc>
          <w:tcPr>
            <w:tcW w:w="6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ADEAE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7ABB1C31">
        <w:tblPrEx>
          <w:tblCellMar>
            <w:top w:w="0" w:type="dxa"/>
            <w:left w:w="0" w:type="dxa"/>
            <w:bottom w:w="0" w:type="dxa"/>
            <w:right w:w="0" w:type="dxa"/>
          </w:tblCellMar>
        </w:tblPrEx>
        <w:trPr>
          <w:trHeight w:val="521" w:hRule="atLeast"/>
          <w:jc w:val="center"/>
        </w:trPr>
        <w:tc>
          <w:tcPr>
            <w:tcW w:w="50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94EDD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w:t>
            </w:r>
          </w:p>
        </w:tc>
        <w:tc>
          <w:tcPr>
            <w:tcW w:w="210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7531AF">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文创新媒体运营与数字营销</w:t>
            </w:r>
          </w:p>
        </w:tc>
        <w:tc>
          <w:tcPr>
            <w:tcW w:w="4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000C0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DA08F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979E5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6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A22D92">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7ABE5299">
        <w:tblPrEx>
          <w:tblCellMar>
            <w:top w:w="0" w:type="dxa"/>
            <w:left w:w="0" w:type="dxa"/>
            <w:bottom w:w="0" w:type="dxa"/>
            <w:right w:w="0" w:type="dxa"/>
          </w:tblCellMar>
        </w:tblPrEx>
        <w:trPr>
          <w:trHeight w:val="273" w:hRule="atLeast"/>
          <w:jc w:val="center"/>
        </w:trPr>
        <w:tc>
          <w:tcPr>
            <w:tcW w:w="50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35820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210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D2DF9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数智文创项目策划与商业</w:t>
            </w:r>
          </w:p>
          <w:p w14:paraId="5ACB2F7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落地实战</w:t>
            </w:r>
          </w:p>
        </w:tc>
        <w:tc>
          <w:tcPr>
            <w:tcW w:w="4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E90D7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B5BC1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FE550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5</w:t>
            </w:r>
          </w:p>
        </w:tc>
        <w:tc>
          <w:tcPr>
            <w:tcW w:w="6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1041F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bl>
    <w:p w14:paraId="16644FEB">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p>
    <w:p w14:paraId="215AB40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0"/>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（二）课程简介</w:t>
      </w:r>
    </w:p>
    <w:p w14:paraId="7DCF896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 xml:space="preserve">1.《智能设计工具与文创数字化制作》本课程聚焦数智文创项目从策划构思到商业落地的全流程实战环节，系统解析大数据、人工智能等数智技术与文化创意产业的融合逻辑，以及数智文创项目的市场定位、商业模式设计、落地运营与商业变现的核心方法。重点讲授数智化市场调研、文创项目策划框架、多渠道落地运营、商业价值挖掘与项目复盘的实操技巧，结合典型数智文创项目案例拆解与全流程实操作业，培养学生基于数智技术驱动文创项目策划与商业落地的综合能力，实现从创意构思到文化价值、商业价值双重转化的闭环。课程融入思政元素，引导学生树立文化自信，自觉传承与创新中华优秀传统文化；培养合规经营意识，遵守文创行业规范与知识产权相关法规；强化社会责任意识，在项目操盘过程中兼顾文化传播价值与商业经济效益，打造兼具思想性、艺术性和市场性的数智文创作品。 </w:t>
      </w:r>
    </w:p>
    <w:p w14:paraId="658D4C7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2.《数字文创IP设计与视觉表达》课程是数智文创设计与运营微专业的核心课程，聚焦数字文创 IP 的构建与视觉呈现。课程以传统文化为根基，以数字技术为手段，系统讲解 IP 定位、角色塑造、故事架构、视觉符号提炼等核心内容，融合数字绘画、矢量图形、三维表现等设计方法。通过案例解析与项目实践，培养学生 IP 创意策划、视觉系统设计与数字化表达能力，打造具有辨识度与传播力的原创数字文创 IP。课程注重创意、美学与市场需求相结合，提升学生的设计落地与商业转化能力，为培养复合型数智文创人才提供坚实支撑。</w:t>
      </w:r>
    </w:p>
    <w:p w14:paraId="2F0646B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文创新媒体运营与数字营销》课程聚焦文创新媒体运营与数字营销的全流程，系统解析文创产业与新媒体融合的核心逻辑、新媒体运营的核心方法，以及数字营销在文创领域的落地路径。重点讲授文创类新媒体（短视频、直播、小红书、公众号等）的运营策略、内容创作、用户运营、流量变现，数字营销工具（社群营销、内容营销、精准投放等）的实操技巧，结合文创行业典型新媒体运营与数字营销案例拆解与全流程实操作业，培养学生运用新媒体工具完成文创IP传播、文创产品推广、用户沉淀与商业变现的综合能力，实现从内容创作、运营推广到营销转化、品牌沉淀的闭环。课程融入思政元素，引导学生树立文化自信，将中华优秀传统文化、革命文化和社会主义先进文化融入新媒体运营与数字营销，传递正向文化价值；培养诚信营销与责任意识，兼顾营销效果、文化传播与用户体验；强化创新思维与产业思维，注重运营策略的创新性、实用性与市场适配性，打造兼具文化感、传播力与商业价值的文创营销方案。</w:t>
      </w:r>
    </w:p>
    <w:p w14:paraId="15DD15F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4.《数智文创项目策划与商业落地实战》课程聚焦智能设计工具应用与文创产品数字化制作的全流程，系统解析智能设计技术的核心逻辑、主流工具的操作方法，以及文创IP从数字化设计到落地制作的转化路径。重点讲授AI设计工具（AI绘图、智能排版）、数字化建模工具、文创数字化渲染与输出工具的实操技巧，结合文创数字化制作典型案例拆解与全流程实操作业，培养学生运用智能工具完成文创IP数字化设计、文创产品数字化建模、渲染输出与落地对接的综合能力，实现从创意构思、智能设计到数字化制作、落地转化的闭环。课程融入思政元素，引导学生树立文化自信，将中华优秀传统文化、革命文化和社会主义先进文化融入智能设计与数字化制作，打造具有中国文化底蕴的数字化文创作品；培养科技赋能文化创新的意识，兼顾设计的创新性、实用性与科技性；强化责任意识与工匠精神，注重数字化制作的细节与品质，兼顾审美价值、使用价值与市场价值，打造兼具文化感、科技感与市场潜力的数字化文创作品。</w:t>
      </w:r>
    </w:p>
    <w:p w14:paraId="64322242">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八、报名和咨询</w:t>
      </w:r>
    </w:p>
    <w:p w14:paraId="72591CD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有意报名的同学请加微信群，下载填写《江苏师范大学学生微专业申请表》，并于3月20日17：10</w:t>
      </w:r>
      <w:bookmarkStart w:id="1" w:name="_GoBack"/>
      <w:bookmarkEnd w:id="1"/>
      <w:r>
        <w:rPr>
          <w:rFonts w:hint="eastAsia" w:ascii="仿宋" w:hAnsi="仿宋" w:eastAsia="仿宋" w:cs="仿宋"/>
          <w:sz w:val="32"/>
          <w:szCs w:val="32"/>
          <w:lang w:val="en-US" w:eastAsia="zh-CN"/>
          <w14:ligatures w14:val="none"/>
        </w:rPr>
        <w:t>前报送至美术学院教务办公室（22号教学楼225室）。</w:t>
      </w:r>
    </w:p>
    <w:p w14:paraId="5FB415E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工作咨询、联系人：吴老师 。</w:t>
      </w:r>
    </w:p>
    <w:p w14:paraId="76C4D82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请扫描加入报名咨询微信群：</w:t>
      </w:r>
    </w:p>
    <w:p w14:paraId="3A9EF1FD">
      <w:pPr>
        <w:jc w:val="center"/>
        <w:rPr>
          <w:rFonts w:hint="eastAsia" w:eastAsiaTheme="minorEastAsia"/>
          <w:color w:val="EE0000"/>
          <w:lang w:eastAsia="zh-CN"/>
        </w:rPr>
      </w:pPr>
      <w:r>
        <w:rPr>
          <w:rFonts w:hint="eastAsia" w:eastAsiaTheme="minorEastAsia"/>
          <w:color w:val="EE0000"/>
          <w:lang w:eastAsia="zh-CN"/>
        </w:rPr>
        <w:drawing>
          <wp:inline distT="0" distB="0" distL="114300" distR="114300">
            <wp:extent cx="1743075" cy="2413000"/>
            <wp:effectExtent l="0" t="0" r="9525" b="6350"/>
            <wp:docPr id="3" name="图片 3" descr="bbe633d5a7c3476cc16c7447b7b7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e633d5a7c3476cc16c7447b7b76f1"/>
                    <pic:cNvPicPr>
                      <a:picLocks noChangeAspect="1"/>
                    </pic:cNvPicPr>
                  </pic:nvPicPr>
                  <pic:blipFill>
                    <a:blip r:embed="rId6"/>
                    <a:stretch>
                      <a:fillRect/>
                    </a:stretch>
                  </pic:blipFill>
                  <pic:spPr>
                    <a:xfrm>
                      <a:off x="0" y="0"/>
                      <a:ext cx="1743075" cy="2413000"/>
                    </a:xfrm>
                    <a:prstGeom prst="rect">
                      <a:avLst/>
                    </a:prstGeom>
                  </pic:spPr>
                </pic:pic>
              </a:graphicData>
            </a:graphic>
          </wp:inline>
        </w:drawing>
      </w: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3A5B12-997E-48E1-9E9B-D150FD4F4F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script"/>
    <w:pitch w:val="default"/>
    <w:sig w:usb0="00000000" w:usb1="00000000" w:usb2="00000016" w:usb3="00000000" w:csb0="0004000F" w:csb1="00000000"/>
  </w:font>
  <w:font w:name="等线 Light">
    <w:altName w:val="宋体"/>
    <w:panose1 w:val="02010600030101010101"/>
    <w:charset w:val="86"/>
    <w:family w:val="script"/>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7C8AA96F-22FD-425B-95C3-7E548368C12E}"/>
  </w:font>
  <w:font w:name="仿宋">
    <w:panose1 w:val="02010609060101010101"/>
    <w:charset w:val="86"/>
    <w:family w:val="auto"/>
    <w:pitch w:val="default"/>
    <w:sig w:usb0="800002BF" w:usb1="38CF7CFA" w:usb2="00000016" w:usb3="00000000" w:csb0="00040001" w:csb1="00000000"/>
    <w:embedRegular r:id="rId3" w:fontKey="{7E69EF58-23B3-455A-8688-D68D5A30FC70}"/>
  </w:font>
  <w:font w:name="楷体">
    <w:panose1 w:val="02010609060101010101"/>
    <w:charset w:val="86"/>
    <w:family w:val="auto"/>
    <w:pitch w:val="default"/>
    <w:sig w:usb0="800002BF" w:usb1="38CF7CFA" w:usb2="00000016" w:usb3="00000000" w:csb0="00040001" w:csb1="00000000"/>
    <w:embedRegular r:id="rId4" w:fontKey="{877F4076-5420-47EC-922F-4B5632D1106A}"/>
  </w:font>
  <w:font w:name="等线">
    <w:altName w:val="微软雅黑"/>
    <w:panose1 w:val="00000000000000000000"/>
    <w:charset w:val="00"/>
    <w:family w:val="auto"/>
    <w:pitch w:val="default"/>
    <w:sig w:usb0="00000000" w:usb1="00000000" w:usb2="00000000" w:usb3="00000000" w:csb0="00000000" w:csb1="00000000"/>
    <w:embedRegular r:id="rId5" w:fontKey="{BA5929FA-ED6B-4971-A6DC-06ACA3D890BB}"/>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1A1EC7"/>
    <w:rsid w:val="0023184E"/>
    <w:rsid w:val="00286B7B"/>
    <w:rsid w:val="00336846"/>
    <w:rsid w:val="00392087"/>
    <w:rsid w:val="003F6F36"/>
    <w:rsid w:val="00570EED"/>
    <w:rsid w:val="0059456E"/>
    <w:rsid w:val="00630A57"/>
    <w:rsid w:val="00633255"/>
    <w:rsid w:val="00677690"/>
    <w:rsid w:val="0078492C"/>
    <w:rsid w:val="008A2774"/>
    <w:rsid w:val="009613C3"/>
    <w:rsid w:val="009D37EC"/>
    <w:rsid w:val="00AB5409"/>
    <w:rsid w:val="00B21122"/>
    <w:rsid w:val="00B75EDE"/>
    <w:rsid w:val="00BB68D1"/>
    <w:rsid w:val="00BC324B"/>
    <w:rsid w:val="00C77298"/>
    <w:rsid w:val="00C900F4"/>
    <w:rsid w:val="00C91ABC"/>
    <w:rsid w:val="00D05706"/>
    <w:rsid w:val="00D80DC9"/>
    <w:rsid w:val="00DA1402"/>
    <w:rsid w:val="00DC444F"/>
    <w:rsid w:val="00E73D87"/>
    <w:rsid w:val="00E85A10"/>
    <w:rsid w:val="00F11F44"/>
    <w:rsid w:val="00F6785F"/>
    <w:rsid w:val="00FC122F"/>
    <w:rsid w:val="07420FBE"/>
    <w:rsid w:val="0D1D46CC"/>
    <w:rsid w:val="4489222E"/>
    <w:rsid w:val="5B340093"/>
    <w:rsid w:val="5D064F7B"/>
    <w:rsid w:val="7712433D"/>
    <w:rsid w:val="7B62489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字符"/>
    <w:basedOn w:val="14"/>
    <w:link w:val="5"/>
    <w:semiHidden/>
    <w:qFormat/>
    <w:uiPriority w:val="9"/>
    <w:rPr>
      <w:rFonts w:cstheme="majorBidi"/>
      <w:color w:val="104862" w:themeColor="accent1" w:themeShade="BF"/>
      <w:sz w:val="28"/>
      <w:szCs w:val="28"/>
    </w:rPr>
  </w:style>
  <w:style w:type="character" w:customStyle="1" w:styleId="19">
    <w:name w:val="标题 5字符"/>
    <w:basedOn w:val="14"/>
    <w:link w:val="6"/>
    <w:semiHidden/>
    <w:qFormat/>
    <w:uiPriority w:val="9"/>
    <w:rPr>
      <w:rFonts w:cstheme="majorBidi"/>
      <w:color w:val="104862" w:themeColor="accent1" w:themeShade="BF"/>
      <w:sz w:val="24"/>
    </w:rPr>
  </w:style>
  <w:style w:type="character" w:customStyle="1" w:styleId="20">
    <w:name w:val="标题 6字符"/>
    <w:basedOn w:val="14"/>
    <w:link w:val="7"/>
    <w:semiHidden/>
    <w:qFormat/>
    <w:uiPriority w:val="9"/>
    <w:rPr>
      <w:rFonts w:cstheme="majorBidi"/>
      <w:b/>
      <w:bCs/>
      <w:color w:val="104862" w:themeColor="accent1" w:themeShade="BF"/>
    </w:rPr>
  </w:style>
  <w:style w:type="character" w:customStyle="1" w:styleId="21">
    <w:name w:val="标题 7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4069</Words>
  <Characters>4114</Characters>
  <Lines>29</Lines>
  <Paragraphs>8</Paragraphs>
  <TotalTime>25</TotalTime>
  <ScaleCrop>false</ScaleCrop>
  <LinksUpToDate>false</LinksUpToDate>
  <CharactersWithSpaces>4123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2026-01-19T09:43:00Z</dcterms:created>
  <dc:creator>永乐 李</dc:creator>
  <cp:lastModifiedBy>灵灵</cp:lastModifiedBy>
  <dcterms:modified xsi:type="dcterms:W3CDTF">2026-03-14T07:55:15Z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eyJoZGlkIjoiNjViZjBlZjA5Nzk0Yzk2NDE1NzcyZjQ5ZmIwNjczYzkiLCJ1c2VySWQiOiI0OTA3MDkzODMifQ==</vt:lpwstr>
  </property>
  <property fmtid="{D5CDD505-2E9C-101B-9397-08002B2CF9AE}" pid="3" name="KSOProductBuildVer">
    <vt:lpwstr>2052-12.1.0.21541</vt:lpwstr>
  </property>
  <property fmtid="{D5CDD505-2E9C-101B-9397-08002B2CF9AE}" pid="4" name="ICV">
    <vt:lpwstr>1B470A7561354023998444299DF80183_12</vt:lpwstr>
  </property>
</Properties>
</file>