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8D73">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江苏师范大学新媒体传播与舆情管理</w:t>
      </w:r>
    </w:p>
    <w:p w14:paraId="69986FD9">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微专业2026年招生简章</w:t>
      </w:r>
    </w:p>
    <w:p w14:paraId="077F34BA">
      <w:pPr>
        <w:adjustRightInd w:val="0"/>
        <w:snapToGrid w:val="0"/>
        <w:spacing w:line="400" w:lineRule="exact"/>
        <w:rPr>
          <w:rFonts w:ascii="宋体" w:hAnsi="宋体" w:cs="Arial"/>
          <w:b/>
          <w:sz w:val="24"/>
        </w:rPr>
      </w:pPr>
    </w:p>
    <w:p w14:paraId="1807CFC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b w:val="0"/>
          <w:bCs/>
          <w:sz w:val="32"/>
          <w:szCs w:val="32"/>
        </w:rPr>
      </w:pPr>
      <w:r>
        <w:rPr>
          <w:rFonts w:hint="eastAsia" w:ascii="黑体" w:hAnsi="黑体" w:eastAsia="黑体" w:cs="黑体"/>
          <w:b w:val="0"/>
          <w:bCs w:val="0"/>
          <w:sz w:val="32"/>
          <w:szCs w:val="32"/>
          <w:lang w:val="en-US" w:eastAsia="zh-CN"/>
          <w14:ligatures w14:val="none"/>
        </w:rPr>
        <w:t>一、微专业介绍</w:t>
      </w:r>
    </w:p>
    <w:p w14:paraId="7EBB712A">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媒体传播与舆情管理》微专业立足数字时代复合型传播人才缺口，立足当前数据驱动的信息生态，紧扣政府、企业及媒体机构对“技术+传播+管理”融合型传播人才缺口，构建跨学科应用型培养体系。本专业打破传统学科壁垒，以“数据驱动、实战导向、全链条赋能”为核心，深度融合新媒体数据运用、新媒体内容创作、舆情研判、公共关系与危机应对四大核心领域，构建“理论+技术+内容+策略”的一体化培养体系。专业聚焦数据驱动的叙事能力、精准的公共沟通技巧以及系统化的舆情管理意识三大核心素养，摒弃理论与实践脱节的培养模式，以应用型、实战型为导向，助力学习者掌握新媒体传播底层逻辑与舆情管理核心方法，成长为适配数字传播生态的复合型专业人才，能够从容应对各类新媒体传播场景与舆情处置需求，为政府公共沟通、企业品牌传播、媒体内容创新提供专业支撑。</w:t>
      </w:r>
    </w:p>
    <w:p w14:paraId="77F150F7">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sz w:val="32"/>
          <w:szCs w:val="32"/>
        </w:rPr>
      </w:pPr>
      <w:bookmarkStart w:id="0" w:name="heading_1"/>
      <w:r>
        <w:rPr>
          <w:rFonts w:hint="eastAsia" w:ascii="黑体" w:hAnsi="黑体" w:eastAsia="黑体" w:cs="黑体"/>
          <w:b w:val="0"/>
          <w:bCs w:val="0"/>
          <w:sz w:val="32"/>
          <w:szCs w:val="32"/>
          <w:lang w:val="en-US" w:eastAsia="zh-CN"/>
          <w14:ligatures w14:val="none"/>
        </w:rPr>
        <w:t>二、培养目标</w:t>
      </w:r>
      <w:bookmarkEnd w:id="0"/>
    </w:p>
    <w:p w14:paraId="7FBC058B">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bookmarkStart w:id="1" w:name="heading_2"/>
      <w:r>
        <w:rPr>
          <w:rFonts w:hint="eastAsia" w:ascii="楷体" w:hAnsi="楷体" w:eastAsia="楷体" w:cs="楷体"/>
          <w:b w:val="0"/>
          <w:bCs w:val="0"/>
          <w:sz w:val="32"/>
          <w:szCs w:val="32"/>
          <w:lang w:val="en-US" w:eastAsia="zh-CN"/>
          <w14:ligatures w14:val="none"/>
        </w:rPr>
        <w:t>（一）培养方向</w:t>
      </w:r>
      <w:bookmarkEnd w:id="1"/>
    </w:p>
    <w:p w14:paraId="6B2DA26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eastAsia="宋体"/>
          <w:sz w:val="32"/>
          <w:szCs w:val="32"/>
        </w:rPr>
      </w:pPr>
      <w:r>
        <w:rPr>
          <w:rFonts w:hint="eastAsia" w:ascii="仿宋" w:hAnsi="仿宋" w:eastAsia="仿宋" w:cs="仿宋"/>
          <w:sz w:val="32"/>
          <w:szCs w:val="32"/>
        </w:rPr>
        <w:t>本微专业旨在培养适应数字传播生态的“技术赋能型传播专才”，通过聚焦新媒体传播全流程与舆情管理全链条，系统突破传统传播人才的能力边界。专业重点强化学生数据叙事与可视化、新媒体内容创作与策划、舆情研判与公共沟通、伦理坚守与跨界协同四大核心能力，使其能够在政府、企业、媒体机构及各类社会组织中，胜任新媒体运营、内容策划、舆情监测、危机应对、公共关系等多元化岗位。通过理论积淀、实战训练与价值引领的有机融合，最终将学生塑造为既精通传播规律、谙熟技术工具，又坚守职业伦理、具备跨界协同能力的复合型新媒体传播与舆情管理人才。</w:t>
      </w:r>
    </w:p>
    <w:p w14:paraId="50BC1B77">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sz w:val="32"/>
          <w:szCs w:val="32"/>
        </w:rPr>
      </w:pPr>
      <w:bookmarkStart w:id="2" w:name="heading_3"/>
      <w:r>
        <w:rPr>
          <w:rFonts w:hint="eastAsia" w:ascii="楷体" w:hAnsi="楷体" w:eastAsia="楷体" w:cs="楷体"/>
          <w:b w:val="0"/>
          <w:bCs w:val="0"/>
          <w:sz w:val="32"/>
          <w:szCs w:val="32"/>
          <w:lang w:val="en-US" w:eastAsia="zh-CN"/>
          <w14:ligatures w14:val="none"/>
        </w:rPr>
        <w:t>（二）培养模式</w:t>
      </w:r>
      <w:bookmarkEnd w:id="2"/>
    </w:p>
    <w:p w14:paraId="5B767A2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3" w:name="heading_4"/>
      <w:r>
        <w:rPr>
          <w:rFonts w:hint="eastAsia" w:ascii="仿宋" w:hAnsi="仿宋" w:eastAsia="仿宋" w:cs="仿宋"/>
          <w:sz w:val="32"/>
          <w:szCs w:val="32"/>
        </w:rPr>
        <w:t>1.特色课程设计</w:t>
      </w:r>
      <w:bookmarkEnd w:id="3"/>
    </w:p>
    <w:p w14:paraId="6B39D0E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4" w:name="heading_5"/>
      <w:r>
        <w:rPr>
          <w:rFonts w:hint="eastAsia" w:ascii="仿宋" w:hAnsi="仿宋" w:eastAsia="仿宋" w:cs="仿宋"/>
          <w:sz w:val="32"/>
          <w:szCs w:val="32"/>
        </w:rPr>
        <w:t>（1）模块化课程结构</w:t>
      </w:r>
      <w:bookmarkEnd w:id="4"/>
    </w:p>
    <w:p w14:paraId="241150B2">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核心模块+拓展模块+实战模块”的三维模块化课程结构，打破传统课程的线性壁垒，紧扣行业核心需求，将课程内容划分为新媒体数据运用、新媒体内容创作、舆情研判与公共关系、危机沟通与处置四大核心模块，搭配前沿技术应用、行业案例解析两大拓展模块，结合实战实训专项模块，实现“理论学习-技术掌握-实战应用”的无缝衔接，确保学习者能够精准掌握行业核心技能，适配岗位需求。</w:t>
      </w:r>
    </w:p>
    <w:p w14:paraId="4751777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5" w:name="heading_6"/>
      <w:r>
        <w:rPr>
          <w:rFonts w:hint="eastAsia" w:ascii="仿宋" w:hAnsi="仿宋" w:eastAsia="仿宋" w:cs="仿宋"/>
          <w:sz w:val="32"/>
          <w:szCs w:val="32"/>
        </w:rPr>
        <w:t>（2）前沿技术课程</w:t>
      </w:r>
      <w:bookmarkEnd w:id="5"/>
    </w:p>
    <w:p w14:paraId="1B619A14">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融入当下新媒体与舆情管理领域的前沿技术内容，重点涵盖数据采集、清洗与分析基础，数据可视化工具（如SPSS、Tableau、Power BI）的实操应用，新媒体内容创作及AI工具的高效运用，舆情监测与分析系统（如清博指数、识微商情等）的操作技巧，以及人工智能在内容创作、舆情研判中的应用等，帮助学习者掌握技术赋能下的传播与舆情管理方法，提升岗位核心竞争力。</w:t>
      </w:r>
    </w:p>
    <w:p w14:paraId="0A60B66E">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6" w:name="heading_7"/>
      <w:r>
        <w:rPr>
          <w:rFonts w:hint="eastAsia" w:ascii="仿宋" w:hAnsi="仿宋" w:eastAsia="仿宋" w:cs="仿宋"/>
          <w:sz w:val="32"/>
          <w:szCs w:val="32"/>
        </w:rPr>
        <w:t>2.实践与创新</w:t>
      </w:r>
      <w:bookmarkEnd w:id="6"/>
    </w:p>
    <w:p w14:paraId="3B43402D">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7" w:name="heading_8"/>
      <w:r>
        <w:rPr>
          <w:rFonts w:hint="eastAsia" w:ascii="仿宋" w:hAnsi="仿宋" w:eastAsia="仿宋" w:cs="仿宋"/>
          <w:sz w:val="32"/>
          <w:szCs w:val="32"/>
        </w:rPr>
        <w:t>（1）项目驱动</w:t>
      </w:r>
      <w:bookmarkEnd w:id="7"/>
    </w:p>
    <w:p w14:paraId="1E01CA4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真实行业项目为核心驱动，贯穿整个培养过程，让学习者在项目实操中巩固理论知识、提升实战能力。每个核心课程模块均配套对应的项目任务，从新媒体内容策划与制作、数据可视化报告产出，到舆情监测与分析、危机沟通方案制定，逐步引导学习者完成从“理论学习者”到“实战执行者”的转变，培养解决实际问题的能力。</w:t>
      </w:r>
    </w:p>
    <w:p w14:paraId="45B8D32A">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8" w:name="heading_9"/>
      <w:r>
        <w:rPr>
          <w:rFonts w:hint="eastAsia" w:ascii="仿宋" w:hAnsi="仿宋" w:eastAsia="仿宋" w:cs="仿宋"/>
          <w:sz w:val="32"/>
          <w:szCs w:val="32"/>
        </w:rPr>
        <w:t>（2）企业项目实训</w:t>
      </w:r>
      <w:bookmarkEnd w:id="8"/>
    </w:p>
    <w:p w14:paraId="5E89CAE5">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动地方政府相关部门、知名企业、主流媒体机构及专业舆情服务公司，搭建企业项目实训平台，为学习者提供真实企业项目实训机会。学习者将深入企业一线，参与企业新媒体运营、舆情监测、危机应对等实际工作，接触行业真实业务场景与需求，学习行业先进经验，积累实战项目履历，提升岗位适配度，为未来就业奠定坚实基础。</w:t>
      </w:r>
    </w:p>
    <w:p w14:paraId="6739AED2">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9" w:name="heading_10"/>
      <w:r>
        <w:rPr>
          <w:rFonts w:hint="eastAsia" w:ascii="仿宋" w:hAnsi="仿宋" w:eastAsia="仿宋" w:cs="仿宋"/>
          <w:sz w:val="32"/>
          <w:szCs w:val="32"/>
        </w:rPr>
        <w:t>（3）创新创业支持</w:t>
      </w:r>
      <w:bookmarkEnd w:id="9"/>
    </w:p>
    <w:p w14:paraId="2AF4A34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托媒体等专业资源，为有创新创业意愿的学习者提供全方位支持，包括创新创业课程指导、项目孵化、资源对接、导师帮扶等。邀请行业专家、创业成功者开展创新创业讲座，分享新媒体领域创新创业经验与思路；为优秀创新创业项目提供场地、技术、资金等方面的支持，助力学习者将专业能力转化为创新创业成果，培养创新创业意识与能力。</w:t>
      </w:r>
    </w:p>
    <w:p w14:paraId="0627BCD9">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10" w:name="heading_11"/>
      <w:r>
        <w:rPr>
          <w:rFonts w:hint="eastAsia" w:ascii="仿宋" w:hAnsi="仿宋" w:eastAsia="仿宋" w:cs="仿宋"/>
          <w:sz w:val="32"/>
          <w:szCs w:val="32"/>
        </w:rPr>
        <w:t>3.综合素质培养</w:t>
      </w:r>
      <w:bookmarkEnd w:id="10"/>
    </w:p>
    <w:p w14:paraId="3D848834">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eastAsia="宋体" w:cs="Arial"/>
          <w:sz w:val="32"/>
          <w:szCs w:val="32"/>
        </w:rPr>
      </w:pPr>
      <w:r>
        <w:rPr>
          <w:rFonts w:hint="eastAsia" w:ascii="仿宋" w:hAnsi="仿宋" w:eastAsia="仿宋" w:cs="仿宋"/>
          <w:sz w:val="32"/>
          <w:szCs w:val="32"/>
        </w:rPr>
        <w:t>在注重专业技能培养的同时，强化学习者的综合素质提升，涵盖沟通表达能力、团队协作能力、逻辑思维能力、应急处置能力、创新思维能力等。通过小组项目、案例研讨、模拟演练、演讲展示等多种形式，引导学习者提升综合素养；嵌入职业素养课程，培养学习者的时间管理能力、责任意识、服务意识，使其成为兼具专业技能与良好综合素质的复合型人才，适应行业发展与岗位需求。</w:t>
      </w:r>
    </w:p>
    <w:p w14:paraId="206A15A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sz w:val="32"/>
          <w:szCs w:val="32"/>
        </w:rPr>
      </w:pPr>
      <w:bookmarkStart w:id="11" w:name="heading_12"/>
      <w:r>
        <w:rPr>
          <w:rFonts w:hint="eastAsia" w:ascii="楷体" w:hAnsi="楷体" w:eastAsia="楷体" w:cs="楷体"/>
          <w:b w:val="0"/>
          <w:bCs w:val="0"/>
          <w:sz w:val="32"/>
          <w:szCs w:val="32"/>
          <w:lang w:val="en-US" w:eastAsia="zh-CN"/>
          <w14:ligatures w14:val="none"/>
        </w:rPr>
        <w:t>（三）培养要求</w:t>
      </w:r>
      <w:bookmarkEnd w:id="11"/>
    </w:p>
    <w:p w14:paraId="20CD4438">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12" w:name="heading_13"/>
      <w:r>
        <w:rPr>
          <w:rFonts w:hint="eastAsia" w:ascii="仿宋" w:hAnsi="仿宋" w:eastAsia="仿宋" w:cs="仿宋"/>
          <w:sz w:val="32"/>
          <w:szCs w:val="32"/>
        </w:rPr>
        <w:t>1.理论基础</w:t>
      </w:r>
      <w:bookmarkEnd w:id="12"/>
    </w:p>
    <w:p w14:paraId="7DBED3A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掌握新媒体传播的基本理论、核心概念与发展趋势，理解信息传播的基本规律与数字生态特征；熟悉舆情管理的基本原理、发生机制与演化规律，掌握舆论学、公共关系、传播学、新闻学等相关学科的基础理论知识；了解数据叙事、内容创作、舆情研判的核心逻辑，为专业技能学习与实战应用奠定坚实的理论基础。</w:t>
      </w:r>
    </w:p>
    <w:p w14:paraId="1CCBDB62">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13" w:name="heading_14"/>
      <w:r>
        <w:rPr>
          <w:rFonts w:hint="eastAsia" w:ascii="仿宋" w:hAnsi="仿宋" w:eastAsia="仿宋" w:cs="仿宋"/>
          <w:sz w:val="32"/>
          <w:szCs w:val="32"/>
        </w:rPr>
        <w:t>2.实践能力</w:t>
      </w:r>
      <w:bookmarkEnd w:id="13"/>
    </w:p>
    <w:p w14:paraId="53AC0D5A">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备扎实的新媒体内容创作与策划能力，能够针对不同平台特质，产出兼具逻辑性、传播性与社会洞察的文案、短视频、图文等内容；掌握数据采集、清洗、分析与可视化技能，能够运用相关工具将复杂数据转化为具有传播力的内容或报告；具备舆情监测、研判与应对能力，能够运用监测工具开展舆情分析，制定合理的舆情应对与危机沟通方案；具备良好的项目执行能力与团队协作能力，能够独立或配合完成各类新媒体与舆情相关项目。</w:t>
      </w:r>
    </w:p>
    <w:p w14:paraId="0A890BDE">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14" w:name="heading_15"/>
      <w:r>
        <w:rPr>
          <w:rFonts w:hint="eastAsia" w:ascii="仿宋" w:hAnsi="仿宋" w:eastAsia="仿宋" w:cs="仿宋"/>
          <w:sz w:val="32"/>
          <w:szCs w:val="32"/>
        </w:rPr>
        <w:t>3.市场与政策</w:t>
      </w:r>
      <w:bookmarkEnd w:id="14"/>
    </w:p>
    <w:p w14:paraId="4698F2C7">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熟悉新媒体行业的市场环境、发展趋势与岗位需求，具备敏锐的市场洞察力，能够精准把握行业发展动态，适配市场对复合型传播人才的需求；了解国家关于新闻传播、网络信息、舆情管理等相关领域的法律法规与政策要求，掌握信息传播的法律边界，能够在合法合规的前提下开展新媒体传播与舆情管理工作，规避行业风险。</w:t>
      </w:r>
    </w:p>
    <w:p w14:paraId="74A69FCB">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bookmarkStart w:id="15" w:name="heading_16"/>
      <w:r>
        <w:rPr>
          <w:rFonts w:hint="eastAsia" w:ascii="仿宋" w:hAnsi="仿宋" w:eastAsia="仿宋" w:cs="仿宋"/>
          <w:sz w:val="32"/>
          <w:szCs w:val="32"/>
        </w:rPr>
        <w:t>4.社会责任与职业道德</w:t>
      </w:r>
      <w:bookmarkEnd w:id="15"/>
    </w:p>
    <w:p w14:paraId="374D3757">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eastAsia="宋体"/>
          <w:sz w:val="32"/>
          <w:szCs w:val="32"/>
        </w:rPr>
      </w:pPr>
      <w:r>
        <w:rPr>
          <w:rFonts w:hint="eastAsia" w:ascii="仿宋" w:hAnsi="仿宋" w:eastAsia="仿宋" w:cs="仿宋"/>
          <w:sz w:val="32"/>
          <w:szCs w:val="32"/>
        </w:rPr>
        <w:t>树立正确的新闻观、传播观，具备强烈的社会责任意识，能够坚守新媒体传播的真实性、客观性原则，传递正能量，引导正确舆论导向；恪守职业操守与伦理规范，尊重信息来源，保护用户隐私，杜绝虚假信息、不良信息的传播；在舆情研判与应对、内容创作与传播中，兼顾公共利益与组织需求，坚守职业底线，具备良好的职业素养与道德品质。</w:t>
      </w:r>
    </w:p>
    <w:p w14:paraId="2850E38B">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三、专业特色</w:t>
      </w:r>
    </w:p>
    <w:p w14:paraId="5F2C9C2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楷体" w:hAnsi="楷体" w:eastAsia="楷体" w:cs="楷体"/>
          <w:b w:val="0"/>
          <w:bCs w:val="0"/>
          <w:sz w:val="32"/>
          <w:szCs w:val="32"/>
          <w:lang w:val="en-US" w:eastAsia="zh-CN"/>
          <w14:ligatures w14:val="none"/>
        </w:rPr>
      </w:pPr>
      <w:r>
        <w:rPr>
          <w:rFonts w:hint="eastAsia" w:ascii="仿宋" w:hAnsi="仿宋" w:eastAsia="仿宋" w:cs="仿宋"/>
          <w:sz w:val="32"/>
          <w:szCs w:val="32"/>
        </w:rPr>
        <w:t>本专业以跨学科融合为核心理念，系统整合新媒体数据运用、内容创意、舆情研判与危机应对四大核心能力模块，构建“内容生产—数据分析—舆情研判—危机应对”全链条课程体系，突破传统学科边界，形成以下鲜明特色：</w:t>
      </w:r>
    </w:p>
    <w:p w14:paraId="2D4F7EF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eastAsia="宋体" w:cs="Arial"/>
          <w:b/>
          <w:sz w:val="32"/>
          <w:szCs w:val="32"/>
        </w:rPr>
      </w:pPr>
      <w:r>
        <w:rPr>
          <w:rFonts w:hint="eastAsia" w:ascii="楷体" w:hAnsi="楷体" w:eastAsia="楷体" w:cs="楷体"/>
          <w:b w:val="0"/>
          <w:bCs w:val="0"/>
          <w:sz w:val="32"/>
          <w:szCs w:val="32"/>
          <w:lang w:val="en-US" w:eastAsia="zh-CN"/>
          <w14:ligatures w14:val="none"/>
        </w:rPr>
        <w:t>（一）前沿课程体系模块化设计</w:t>
      </w:r>
    </w:p>
    <w:p w14:paraId="5DC5F19D">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ascii="宋体" w:hAnsi="宋体" w:eastAsia="宋体"/>
          <w:sz w:val="32"/>
          <w:szCs w:val="32"/>
        </w:rPr>
      </w:pPr>
      <w:r>
        <w:rPr>
          <w:rFonts w:hint="eastAsia" w:ascii="仿宋" w:hAnsi="仿宋" w:eastAsia="仿宋" w:cs="仿宋"/>
          <w:sz w:val="32"/>
          <w:szCs w:val="32"/>
        </w:rPr>
        <w:t>围绕四大核心能力模块，系统整合五门课程：《新媒体文案创意与写作》《网络新闻评论》聚焦多平台内容创作与舆论引导能力；《新媒体数据运用》强化数据采集、可视化及智能分析技能；《舆情研判与分析》《公共关系与危机应对》侧重舆情演化规律洞察与危机响应策略制定。课程前后衔接、层层递进，形成“理论—工具—场景—实战”闭环培养链条，精准对接行业对“技术+管理”复合型人才的需求。</w:t>
      </w:r>
    </w:p>
    <w:p w14:paraId="0DD2FCDD">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eastAsia="宋体" w:cs="Arial"/>
          <w:b/>
          <w:sz w:val="32"/>
          <w:szCs w:val="32"/>
        </w:rPr>
      </w:pPr>
      <w:r>
        <w:rPr>
          <w:rFonts w:hint="eastAsia" w:ascii="楷体" w:hAnsi="楷体" w:eastAsia="楷体" w:cs="楷体"/>
          <w:b w:val="0"/>
          <w:bCs w:val="0"/>
          <w:sz w:val="32"/>
          <w:szCs w:val="32"/>
          <w:lang w:val="en-US" w:eastAsia="zh-CN"/>
          <w14:ligatures w14:val="none"/>
        </w:rPr>
        <w:t>（二）实践导向的产教融合模式</w:t>
      </w:r>
    </w:p>
    <w:p w14:paraId="723B622E">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托与徐州广电、新华日报等单位的深度合作，推行“真实场景+任务驱动”教学。课程嵌入案例库模拟、舆情监测平台实操、危机公关策劃等实战项目，要求学生结业时提交综合解决方案或可发表的作品。通过“校内导师+行业导师”双指导机制，强化学生从数据叙事到舆情治理的全流程实战能力，实现“上岗即用”的培养效果。</w:t>
      </w:r>
    </w:p>
    <w:p w14:paraId="6B326BE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宋体" w:hAnsi="宋体" w:eastAsia="宋体" w:cs="Arial"/>
          <w:b/>
          <w:sz w:val="32"/>
          <w:szCs w:val="32"/>
        </w:rPr>
      </w:pPr>
      <w:r>
        <w:rPr>
          <w:rFonts w:hint="eastAsia" w:ascii="楷体" w:hAnsi="楷体" w:eastAsia="楷体" w:cs="楷体"/>
          <w:b w:val="0"/>
          <w:bCs w:val="0"/>
          <w:sz w:val="32"/>
          <w:szCs w:val="32"/>
          <w:lang w:val="en-US" w:eastAsia="zh-CN"/>
          <w14:ligatures w14:val="none"/>
        </w:rPr>
        <w:t>（三）跨学科知识融合与创新能力培养</w:t>
      </w:r>
    </w:p>
    <w:p w14:paraId="0861899B">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融合传播学、数据科学、公共管理等多学科知识，注重培养学生跨领域协同解决问题的能力。课程内容引入AIGC、大数据分析等前沿技术工具，强调在复杂舆论场中兼顾创意表达、伦理规范与战略思维，使学生能够胜任政务新媒体运营、企业品牌危机管理、融媒体内容策划等多元化岗位。</w:t>
      </w:r>
    </w:p>
    <w:p w14:paraId="20E8C452">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（四）社会责任引领的可持续发展机制</w:t>
      </w:r>
    </w:p>
    <w:p w14:paraId="1CC03C6E">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将思政教育融入课程体系，强化信息传播的法律边界与伦理意识，培养学生坚守舆论导向责任。通过动态评估行业需求、追踪毕业生发展反馈，持续优化课程内容与教学方法，确保专业建设始终契合技术迭代与社会发展需求，为学生构建可持续的职业竞争力。</w:t>
      </w:r>
    </w:p>
    <w:p w14:paraId="15DB1C1C">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四、资源保障</w:t>
      </w:r>
    </w:p>
    <w:p w14:paraId="11D210FA">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ascii="宋体" w:hAnsi="宋体" w:eastAsia="宋体"/>
          <w:b/>
          <w:bCs/>
          <w:sz w:val="32"/>
          <w:szCs w:val="32"/>
        </w:rPr>
      </w:pPr>
      <w:r>
        <w:rPr>
          <w:rFonts w:hint="eastAsia" w:ascii="楷体" w:hAnsi="楷体" w:eastAsia="楷体" w:cs="楷体"/>
          <w:b w:val="0"/>
          <w:bCs w:val="0"/>
          <w:sz w:val="32"/>
          <w:szCs w:val="32"/>
          <w:lang w:val="en-US" w:eastAsia="zh-CN"/>
          <w14:ligatures w14:val="none"/>
        </w:rPr>
        <w:t>（一）高水平“双师型”教学团队</w:t>
      </w:r>
    </w:p>
    <w:p w14:paraId="42E20024">
      <w:pPr>
        <w:keepNext w:val="0"/>
        <w:keepLines w:val="0"/>
        <w:pageBreakBefore w:val="0"/>
        <w:widowControl w:val="0"/>
        <w:kinsoku/>
        <w:wordWrap/>
        <w:overflowPunct/>
        <w:topLinePunct w:val="0"/>
        <w:autoSpaceDE/>
        <w:autoSpaceDN/>
        <w:bidi w:val="0"/>
        <w:spacing w:after="0" w:line="576" w:lineRule="exact"/>
        <w:textAlignment w:val="auto"/>
        <w:rPr>
          <w:rFonts w:hint="eastAsia" w:ascii="仿宋" w:hAnsi="仿宋" w:eastAsia="仿宋" w:cs="仿宋"/>
          <w:sz w:val="32"/>
          <w:szCs w:val="32"/>
        </w:rPr>
      </w:pPr>
      <w:r>
        <w:rPr>
          <w:rFonts w:hint="eastAsia" w:ascii="宋体" w:hAnsi="宋体" w:eastAsia="宋体"/>
          <w:sz w:val="32"/>
          <w:szCs w:val="32"/>
        </w:rPr>
        <w:t xml:space="preserve">    </w:t>
      </w:r>
      <w:r>
        <w:rPr>
          <w:rFonts w:hint="eastAsia" w:ascii="仿宋" w:hAnsi="仿宋" w:eastAsia="仿宋" w:cs="仿宋"/>
          <w:sz w:val="32"/>
          <w:szCs w:val="32"/>
        </w:rPr>
        <w:t>本专业依托传媒与影视学院网络与新媒体专业的雄厚师资基础，组建了由校内骨干教师与行业专家共同构成的教学团队。校内教师均具备舆情管理、新媒体传播等领域的丰富教学与科研经验，同时柔性引进徐州广电、新华日报社等合作单位的资深媒体人、舆情分析师、公关顾问担任行业导师，形成“理论引领+实战赋能”的双师结构，确保课程内容与行业前沿紧密对接。</w:t>
      </w:r>
    </w:p>
    <w:p w14:paraId="732C3D31">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ascii="宋体" w:hAnsi="宋体" w:eastAsia="宋体"/>
          <w:b/>
          <w:bCs/>
          <w:sz w:val="32"/>
          <w:szCs w:val="32"/>
        </w:rPr>
      </w:pPr>
      <w:r>
        <w:rPr>
          <w:rFonts w:hint="eastAsia" w:ascii="楷体" w:hAnsi="楷体" w:eastAsia="楷体" w:cs="楷体"/>
          <w:b w:val="0"/>
          <w:bCs w:val="0"/>
          <w:sz w:val="32"/>
          <w:szCs w:val="32"/>
          <w:lang w:val="en-US" w:eastAsia="zh-CN"/>
          <w14:ligatures w14:val="none"/>
        </w:rPr>
        <w:t>（二）模块化课程与智能化实验平台</w:t>
      </w:r>
    </w:p>
    <w:p w14:paraId="03347205">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程体系深度融合“理论筑基-工具掌握-案例实训-项目实战”四层次内容，依托学院已建成的融媒体实验中心、舆情分析实验室、数字内容制作实验室等专业化平台，向微专业全面开放。实验室配备数据可视化工具、新媒体内容生产设备等软硬件资源，并建立动态升级机制，保障学生能够在真实环境中开展数据采集、舆情模拟、危机公关等实践训练。</w:t>
      </w:r>
    </w:p>
    <w:p w14:paraId="3B0AB966">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（三）产教协同的实战化培养平台</w:t>
      </w:r>
    </w:p>
    <w:p w14:paraId="257760F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院与新华日报社、徐州广电传媒集团等多家单位签订实习实践协议，共建实习基地与联合实验室，引入企业真实项目与案例库。通过“课程项目化、实训岗位化”模式，学生可参与舆情研判报告撰写、政务新媒体运营、品牌危机应对方案设计等实战任务，实现从学习到就业的无缝衔接。</w:t>
      </w:r>
    </w:p>
    <w:p w14:paraId="6FCF8E36">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（四）教研互促的学术资源体系</w:t>
      </w:r>
    </w:p>
    <w:p w14:paraId="088FAD7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学团队持续承担国家级、省部级舆情与新媒体相关课题，科研成果及时反哺教学。学院设立专项经费支持教师参加行业培训与学术会议，定期开展产学研融合研讨，确保课程内容紧跟技术迭代与理论前沿，形成“科研赋能教学、教学催生创新”的良性循环。</w:t>
      </w:r>
    </w:p>
    <w:p w14:paraId="0AFDC3C3">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sz w:val="32"/>
          <w:szCs w:val="32"/>
        </w:rPr>
      </w:pPr>
      <w:r>
        <w:rPr>
          <w:rFonts w:hint="eastAsia" w:ascii="黑体" w:hAnsi="黑体" w:eastAsia="黑体" w:cs="黑体"/>
          <w:b w:val="0"/>
          <w:bCs w:val="0"/>
          <w:sz w:val="32"/>
          <w:szCs w:val="32"/>
          <w:lang w:val="en-US" w:eastAsia="zh-CN"/>
          <w14:ligatures w14:val="none"/>
        </w:rPr>
        <w:t>五、招生对象及条件</w:t>
      </w:r>
    </w:p>
    <w:p w14:paraId="444BBF0B">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val="0"/>
          <w:bCs w:val="0"/>
          <w:sz w:val="32"/>
          <w:szCs w:val="32"/>
          <w:lang w:val="en-US" w:eastAsia="zh-CN"/>
          <w14:ligatures w14:val="none"/>
        </w:rPr>
        <w:t>（一）招生对象：</w:t>
      </w:r>
      <w:r>
        <w:rPr>
          <w:rFonts w:hint="eastAsia" w:ascii="仿宋" w:hAnsi="仿宋" w:eastAsia="仿宋" w:cs="仿宋"/>
          <w:sz w:val="32"/>
          <w:szCs w:val="32"/>
        </w:rPr>
        <w:t>全日制在校</w:t>
      </w:r>
      <w:r>
        <w:rPr>
          <w:rFonts w:hint="eastAsia" w:ascii="仿宋" w:hAnsi="仿宋" w:eastAsia="仿宋" w:cs="仿宋"/>
          <w:sz w:val="32"/>
          <w:szCs w:val="32"/>
          <w:lang w:eastAsia="zh-CN"/>
        </w:rPr>
        <w:t>一、二、三年级</w:t>
      </w:r>
      <w:r>
        <w:rPr>
          <w:rFonts w:hint="eastAsia" w:ascii="仿宋" w:hAnsi="仿宋" w:eastAsia="仿宋" w:cs="仿宋"/>
          <w:sz w:val="32"/>
          <w:szCs w:val="32"/>
        </w:rPr>
        <w:t>本科生</w:t>
      </w:r>
      <w:r>
        <w:rPr>
          <w:rFonts w:hint="eastAsia" w:ascii="仿宋" w:hAnsi="仿宋" w:eastAsia="仿宋" w:cs="仿宋"/>
          <w:sz w:val="32"/>
          <w:szCs w:val="32"/>
          <w:lang w:eastAsia="zh-CN"/>
        </w:rPr>
        <w:t>及有条件的研究生</w:t>
      </w:r>
    </w:p>
    <w:p w14:paraId="28ECF379">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val="en-US" w:eastAsia="zh-CN"/>
          <w14:ligatures w14:val="none"/>
        </w:rPr>
        <w:t>（二）计划招生人数：</w:t>
      </w:r>
      <w:r>
        <w:rPr>
          <w:rFonts w:hint="eastAsia" w:ascii="仿宋" w:hAnsi="仿宋" w:eastAsia="仿宋" w:cs="仿宋"/>
          <w:sz w:val="32"/>
          <w:szCs w:val="32"/>
        </w:rPr>
        <w:t>计划招生40人</w:t>
      </w:r>
    </w:p>
    <w:p w14:paraId="254520B5">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val="en-US" w:eastAsia="zh-CN"/>
          <w14:ligatures w14:val="none"/>
        </w:rPr>
        <w:t>（三）学制、学分：</w:t>
      </w:r>
      <w:r>
        <w:rPr>
          <w:rFonts w:hint="eastAsia" w:ascii="仿宋" w:hAnsi="仿宋" w:eastAsia="仿宋" w:cs="仿宋"/>
          <w:sz w:val="32"/>
          <w:szCs w:val="32"/>
        </w:rPr>
        <w:t>一年，共10学分</w:t>
      </w:r>
    </w:p>
    <w:p w14:paraId="6804789F">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ascii="宋体" w:hAnsi="宋体" w:eastAsia="宋体"/>
          <w:sz w:val="32"/>
          <w:szCs w:val="32"/>
        </w:rPr>
      </w:pPr>
      <w:r>
        <w:rPr>
          <w:rFonts w:hint="eastAsia" w:ascii="楷体" w:hAnsi="楷体" w:eastAsia="楷体" w:cs="楷体"/>
          <w:b w:val="0"/>
          <w:bCs w:val="0"/>
          <w:sz w:val="32"/>
          <w:szCs w:val="32"/>
          <w:lang w:val="en-US" w:eastAsia="zh-CN"/>
          <w14:ligatures w14:val="none"/>
        </w:rPr>
        <w:t>（四）收费标准：8</w:t>
      </w:r>
      <w:r>
        <w:rPr>
          <w:rFonts w:hint="eastAsia" w:ascii="仿宋" w:hAnsi="仿宋" w:eastAsia="仿宋" w:cs="仿宋"/>
          <w:sz w:val="32"/>
          <w:szCs w:val="32"/>
        </w:rPr>
        <w:t>0元/</w:t>
      </w:r>
      <w:r>
        <w:rPr>
          <w:rFonts w:hint="eastAsia" w:ascii="仿宋" w:hAnsi="仿宋" w:eastAsia="仿宋" w:cs="仿宋"/>
          <w:sz w:val="32"/>
          <w:szCs w:val="32"/>
          <w:lang w:eastAsia="zh-CN"/>
        </w:rPr>
        <w:t>学</w:t>
      </w:r>
      <w:r>
        <w:rPr>
          <w:rFonts w:hint="eastAsia" w:ascii="仿宋" w:hAnsi="仿宋" w:eastAsia="仿宋" w:cs="仿宋"/>
          <w:sz w:val="32"/>
          <w:szCs w:val="32"/>
        </w:rPr>
        <w:t>分，合计</w:t>
      </w:r>
      <w:r>
        <w:rPr>
          <w:rFonts w:hint="eastAsia" w:ascii="仿宋" w:hAnsi="仿宋" w:eastAsia="仿宋" w:cs="仿宋"/>
          <w:sz w:val="32"/>
          <w:szCs w:val="32"/>
          <w:lang w:val="en-US" w:eastAsia="zh-CN"/>
        </w:rPr>
        <w:t>8</w:t>
      </w:r>
      <w:r>
        <w:rPr>
          <w:rFonts w:hint="eastAsia" w:ascii="仿宋" w:hAnsi="仿宋" w:eastAsia="仿宋" w:cs="仿宋"/>
          <w:sz w:val="32"/>
          <w:szCs w:val="32"/>
        </w:rPr>
        <w:t>00元</w:t>
      </w:r>
    </w:p>
    <w:p w14:paraId="0E9466CC">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ascii="宋体" w:hAnsi="宋体" w:eastAsia="宋体"/>
          <w:sz w:val="32"/>
          <w:szCs w:val="32"/>
        </w:rPr>
      </w:pPr>
      <w:r>
        <w:rPr>
          <w:rFonts w:hint="eastAsia" w:ascii="楷体" w:hAnsi="楷体" w:eastAsia="楷体" w:cs="楷体"/>
          <w:b w:val="0"/>
          <w:bCs w:val="0"/>
          <w:sz w:val="32"/>
          <w:szCs w:val="32"/>
          <w:lang w:val="en-US" w:eastAsia="zh-CN"/>
          <w14:ligatures w14:val="none"/>
        </w:rPr>
        <w:t>（五）授课方式：</w:t>
      </w:r>
      <w:r>
        <w:rPr>
          <w:rFonts w:hint="eastAsia" w:ascii="仿宋" w:hAnsi="仿宋" w:eastAsia="仿宋" w:cs="仿宋"/>
          <w:sz w:val="32"/>
          <w:szCs w:val="32"/>
        </w:rPr>
        <w:t>本微专业独立开班，学制一年，利用课余时间授课。线上线下混合式授课。</w:t>
      </w:r>
    </w:p>
    <w:p w14:paraId="6E385D53">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sz w:val="32"/>
          <w:szCs w:val="32"/>
        </w:rPr>
      </w:pPr>
      <w:r>
        <w:rPr>
          <w:rFonts w:hint="eastAsia" w:ascii="黑体" w:hAnsi="黑体" w:eastAsia="黑体" w:cs="黑体"/>
          <w:b w:val="0"/>
          <w:bCs w:val="0"/>
          <w:sz w:val="32"/>
          <w:szCs w:val="32"/>
          <w:lang w:val="en-US" w:eastAsia="zh-CN"/>
          <w14:ligatures w14:val="none"/>
        </w:rPr>
        <w:t>六、学分认定与证书授予</w:t>
      </w:r>
    </w:p>
    <w:p w14:paraId="0361225B">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完成微专业“新媒体传播与舆情管理”培养方案中规定的课程并达到学习要求，由传媒与影视学院审核后提出结业名单，报教务处备案，由教务处统一颁发结业证书和成绩单；微专业是非学历教育，不授予学位。</w:t>
      </w:r>
    </w:p>
    <w:p w14:paraId="406FB16F">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七、微专业课程</w:t>
      </w:r>
    </w:p>
    <w:p w14:paraId="17F6C7E4">
      <w:pPr>
        <w:keepNext w:val="0"/>
        <w:keepLines w:val="0"/>
        <w:pageBreakBefore w:val="0"/>
        <w:widowControl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（一）课程设置及学时分配表</w:t>
      </w:r>
    </w:p>
    <w:tbl>
      <w:tblPr>
        <w:tblStyle w:val="16"/>
        <w:tblW w:w="4819" w:type="pct"/>
        <w:jc w:val="center"/>
        <w:tblLayout w:type="autofit"/>
        <w:tblCellMar>
          <w:top w:w="0" w:type="dxa"/>
          <w:left w:w="0" w:type="dxa"/>
          <w:bottom w:w="0" w:type="dxa"/>
          <w:right w:w="0" w:type="dxa"/>
        </w:tblCellMar>
      </w:tblPr>
      <w:tblGrid>
        <w:gridCol w:w="900"/>
        <w:gridCol w:w="2819"/>
        <w:gridCol w:w="819"/>
        <w:gridCol w:w="809"/>
        <w:gridCol w:w="1552"/>
        <w:gridCol w:w="1401"/>
      </w:tblGrid>
      <w:tr w14:paraId="4F84785C">
        <w:tblPrEx>
          <w:tblCellMar>
            <w:top w:w="0" w:type="dxa"/>
            <w:left w:w="0" w:type="dxa"/>
            <w:bottom w:w="0" w:type="dxa"/>
            <w:right w:w="0" w:type="dxa"/>
          </w:tblCellMar>
        </w:tblPrEx>
        <w:trPr>
          <w:trHeight w:val="521" w:hRule="atLeast"/>
          <w:jc w:val="center"/>
        </w:trPr>
        <w:tc>
          <w:tcPr>
            <w:tcW w:w="5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5F442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6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C578B5">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B4A5FA">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48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5022CA">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93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537759">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8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16749D">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1D9665A0">
        <w:tblPrEx>
          <w:tblCellMar>
            <w:top w:w="0" w:type="dxa"/>
            <w:left w:w="0" w:type="dxa"/>
            <w:bottom w:w="0" w:type="dxa"/>
            <w:right w:w="0" w:type="dxa"/>
          </w:tblCellMar>
        </w:tblPrEx>
        <w:trPr>
          <w:trHeight w:val="521" w:hRule="atLeast"/>
          <w:jc w:val="center"/>
        </w:trPr>
        <w:tc>
          <w:tcPr>
            <w:tcW w:w="5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14:paraId="280A4CA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16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2B2D0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16" w:name="_Hlk168565787"/>
            <w:bookmarkEnd w:id="16"/>
            <w:r>
              <w:rPr>
                <w:rFonts w:hint="eastAsia" w:ascii="仿宋" w:hAnsi="仿宋" w:eastAsia="仿宋" w:cs="仿宋"/>
                <w:b w:val="0"/>
                <w:bCs w:val="0"/>
                <w:color w:val="auto"/>
                <w:sz w:val="24"/>
                <w:szCs w:val="24"/>
                <w:lang w:val="en-US" w:eastAsia="zh-CN"/>
                <w14:ligatures w14:val="none"/>
              </w:rPr>
              <w:t>新媒体数据运用</w:t>
            </w:r>
          </w:p>
        </w:tc>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6A821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48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0E6AF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32</w:t>
            </w:r>
          </w:p>
        </w:tc>
        <w:tc>
          <w:tcPr>
            <w:tcW w:w="93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29D30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春季学期</w:t>
            </w:r>
          </w:p>
        </w:tc>
        <w:tc>
          <w:tcPr>
            <w:tcW w:w="8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90A85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299D432C">
        <w:tblPrEx>
          <w:tblCellMar>
            <w:top w:w="0" w:type="dxa"/>
            <w:left w:w="0" w:type="dxa"/>
            <w:bottom w:w="0" w:type="dxa"/>
            <w:right w:w="0" w:type="dxa"/>
          </w:tblCellMar>
        </w:tblPrEx>
        <w:trPr>
          <w:trHeight w:val="522" w:hRule="atLeast"/>
          <w:jc w:val="center"/>
        </w:trPr>
        <w:tc>
          <w:tcPr>
            <w:tcW w:w="5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14:paraId="2DC56D1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16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F5D2A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网络新闻评论</w:t>
            </w:r>
          </w:p>
        </w:tc>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9F5AB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48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66DBB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32</w:t>
            </w:r>
          </w:p>
        </w:tc>
        <w:tc>
          <w:tcPr>
            <w:tcW w:w="93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08DEA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春季学期</w:t>
            </w:r>
          </w:p>
        </w:tc>
        <w:tc>
          <w:tcPr>
            <w:tcW w:w="8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52128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27F32A11">
        <w:tblPrEx>
          <w:tblCellMar>
            <w:top w:w="0" w:type="dxa"/>
            <w:left w:w="0" w:type="dxa"/>
            <w:bottom w:w="0" w:type="dxa"/>
            <w:right w:w="0" w:type="dxa"/>
          </w:tblCellMar>
        </w:tblPrEx>
        <w:trPr>
          <w:trHeight w:val="521" w:hRule="atLeast"/>
          <w:jc w:val="center"/>
        </w:trPr>
        <w:tc>
          <w:tcPr>
            <w:tcW w:w="5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14:paraId="1126B41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16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D6DC2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新媒体文案创意与写作</w:t>
            </w:r>
          </w:p>
        </w:tc>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C86DD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48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2A378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30</w:t>
            </w:r>
          </w:p>
        </w:tc>
        <w:tc>
          <w:tcPr>
            <w:tcW w:w="93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A21EB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春季学期</w:t>
            </w:r>
          </w:p>
        </w:tc>
        <w:tc>
          <w:tcPr>
            <w:tcW w:w="8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826F4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5AF27922">
        <w:tblPrEx>
          <w:tblCellMar>
            <w:top w:w="0" w:type="dxa"/>
            <w:left w:w="0" w:type="dxa"/>
            <w:bottom w:w="0" w:type="dxa"/>
            <w:right w:w="0" w:type="dxa"/>
          </w:tblCellMar>
        </w:tblPrEx>
        <w:trPr>
          <w:trHeight w:val="522" w:hRule="atLeast"/>
          <w:jc w:val="center"/>
        </w:trPr>
        <w:tc>
          <w:tcPr>
            <w:tcW w:w="5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14:paraId="36A1A80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16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B7731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公共关系与危机应对</w:t>
            </w:r>
          </w:p>
        </w:tc>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C86C0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48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E4A3C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30</w:t>
            </w:r>
          </w:p>
        </w:tc>
        <w:tc>
          <w:tcPr>
            <w:tcW w:w="93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6AF5D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秋季学期</w:t>
            </w:r>
          </w:p>
        </w:tc>
        <w:tc>
          <w:tcPr>
            <w:tcW w:w="8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65F19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45DF6A96">
        <w:tblPrEx>
          <w:tblCellMar>
            <w:top w:w="0" w:type="dxa"/>
            <w:left w:w="0" w:type="dxa"/>
            <w:bottom w:w="0" w:type="dxa"/>
            <w:right w:w="0" w:type="dxa"/>
          </w:tblCellMar>
        </w:tblPrEx>
        <w:trPr>
          <w:trHeight w:val="521" w:hRule="atLeast"/>
          <w:jc w:val="center"/>
        </w:trPr>
        <w:tc>
          <w:tcPr>
            <w:tcW w:w="54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14:paraId="231E058A">
            <w:pPr>
              <w:jc w:val="center"/>
              <w:rPr>
                <w:rFonts w:ascii="宋体" w:hAnsi="宋体" w:eastAsia="宋体"/>
                <w:sz w:val="24"/>
              </w:rPr>
            </w:pPr>
            <w:r>
              <w:rPr>
                <w:rFonts w:hint="eastAsia" w:ascii="宋体" w:hAnsi="宋体" w:eastAsia="宋体"/>
                <w:sz w:val="24"/>
              </w:rPr>
              <w:t>5</w:t>
            </w:r>
          </w:p>
        </w:tc>
        <w:tc>
          <w:tcPr>
            <w:tcW w:w="16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C74018">
            <w:pPr>
              <w:jc w:val="center"/>
              <w:rPr>
                <w:rFonts w:ascii="宋体" w:hAnsi="宋体" w:eastAsia="宋体"/>
                <w:sz w:val="24"/>
              </w:rPr>
            </w:pPr>
            <w:bookmarkStart w:id="17" w:name="_Hlk168565965"/>
            <w:bookmarkEnd w:id="17"/>
            <w:r>
              <w:rPr>
                <w:rFonts w:hint="eastAsia" w:ascii="宋体" w:hAnsi="宋体" w:eastAsia="宋体"/>
                <w:sz w:val="24"/>
              </w:rPr>
              <w:t>网络舆情监测与研判</w:t>
            </w:r>
          </w:p>
        </w:tc>
        <w:tc>
          <w:tcPr>
            <w:tcW w:w="49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F2C510">
            <w:pPr>
              <w:jc w:val="center"/>
              <w:rPr>
                <w:rFonts w:ascii="宋体" w:hAnsi="宋体" w:eastAsia="宋体"/>
                <w:sz w:val="24"/>
              </w:rPr>
            </w:pPr>
            <w:r>
              <w:rPr>
                <w:rFonts w:hint="eastAsia" w:ascii="宋体" w:hAnsi="宋体" w:eastAsia="宋体"/>
                <w:sz w:val="24"/>
              </w:rPr>
              <w:t>2</w:t>
            </w:r>
          </w:p>
        </w:tc>
        <w:tc>
          <w:tcPr>
            <w:tcW w:w="48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7EE9AD">
            <w:pPr>
              <w:jc w:val="center"/>
              <w:rPr>
                <w:rFonts w:ascii="宋体" w:hAnsi="宋体" w:eastAsia="宋体"/>
                <w:sz w:val="24"/>
              </w:rPr>
            </w:pPr>
            <w:r>
              <w:rPr>
                <w:rFonts w:hint="eastAsia" w:ascii="宋体" w:hAnsi="宋体" w:eastAsia="宋体"/>
                <w:sz w:val="24"/>
              </w:rPr>
              <w:t>32</w:t>
            </w:r>
          </w:p>
        </w:tc>
        <w:tc>
          <w:tcPr>
            <w:tcW w:w="93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D77D25">
            <w:pPr>
              <w:jc w:val="center"/>
              <w:rPr>
                <w:rFonts w:ascii="宋体" w:hAnsi="宋体" w:eastAsia="宋体"/>
                <w:sz w:val="24"/>
              </w:rPr>
            </w:pPr>
            <w:r>
              <w:rPr>
                <w:rFonts w:hint="eastAsia" w:ascii="宋体" w:hAnsi="宋体" w:eastAsia="宋体"/>
                <w:sz w:val="24"/>
              </w:rPr>
              <w:t>秋季学期</w:t>
            </w:r>
          </w:p>
        </w:tc>
        <w:tc>
          <w:tcPr>
            <w:tcW w:w="8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E8D279">
            <w:pPr>
              <w:jc w:val="center"/>
              <w:rPr>
                <w:rFonts w:ascii="宋体" w:hAnsi="宋体" w:eastAsia="宋体"/>
                <w:sz w:val="24"/>
              </w:rPr>
            </w:pPr>
            <w:r>
              <w:rPr>
                <w:rFonts w:hint="eastAsia" w:ascii="宋体" w:hAnsi="宋体" w:eastAsia="宋体"/>
                <w:sz w:val="24"/>
              </w:rPr>
              <w:t>必修</w:t>
            </w:r>
          </w:p>
        </w:tc>
      </w:tr>
    </w:tbl>
    <w:p w14:paraId="18F0CE1B">
      <w:pPr>
        <w:keepNext w:val="0"/>
        <w:keepLines w:val="0"/>
        <w:pageBreakBefore w:val="0"/>
        <w:widowControl w:val="0"/>
        <w:kinsoku/>
        <w:wordWrap/>
        <w:overflowPunct/>
        <w:topLinePunct w:val="0"/>
        <w:autoSpaceDE/>
        <w:autoSpaceDN/>
        <w:bidi w:val="0"/>
        <w:adjustRightInd/>
        <w:snapToGrid/>
        <w:spacing w:before="157" w:beforeLines="50"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（二）课程简介</w:t>
      </w:r>
    </w:p>
    <w:p w14:paraId="691F9FE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《新媒体数据运用》</w:t>
      </w:r>
    </w:p>
    <w:p w14:paraId="7D4710D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为新媒体传播与舆情管理微专业学生的专业必修课，旨在通过对大数据和数据可视化这一专业领域和职业特性进行全面系统的介绍以及有关基础技能的训练，使学生从数据分析与可视化的知识要点、数据处理技能、数据理解与数据信息撰写三个层次，在理论与实践相结合的基础上，掌握并运用可视化技能理解数据与运用数据，了解熟悉数据和计算机语言，多种数据分析与可视化软件的使用，以及数据与事实信息关系的述说方式，培养学生以专业的知识和技能来撰写数据结果、讲好数据背后的故事的能力。</w:t>
      </w:r>
    </w:p>
    <w:p w14:paraId="2A5D64AB">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2.《公共关系与危机应对》</w:t>
      </w:r>
    </w:p>
    <w:p w14:paraId="5BEBAAE4">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关系与危机应对》立足新媒体时代舆情传播快速化、多元化特点，紧扣舆情管理岗位核心需求，深度融合理论教学与实践实训，旨在帮助学生系统掌握公共关系基础理论与危机应对核心技能，有效提升公关策划、沟通协调及舆情危机处置能力。课程兼顾基础性与实用性，核心涵盖公共关系基础、新媒体公关实务、舆情危机识别预警、危机应对与形象修复四大核心内容，重点聚焦政务、企业两大主流应用场景，紧密贴合行业实际需求设计教学内容。课程采用“理论+实践”相结合的教学模式，以案例教学、情景模拟为主要形式，选取近年来新媒体环境下典型舆情危机案例引导学生分析研讨，实践课时占比不低于20%。课程专门设置危机模拟处置、公关方案设计等实训任务，强化学生实践操作能力。考核实行“过程性评价+终结性评价”相结合的方式，全面考核学生理论掌握程度与实践应用能力，助力培养适配政务舆情管理、企业公关等相关岗位的应用型人才，精准契合微专业复合型人才培养目标。</w:t>
      </w:r>
    </w:p>
    <w:p w14:paraId="7B07E48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《新媒体文案创意与写作》</w:t>
      </w:r>
    </w:p>
    <w:p w14:paraId="78D84C30">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媒体文案创意与写作》课程聚焦新媒体时代文案创作的核心逻辑与实操方法，适配微信朋友圈、公众号、短视频、小红书、微博等主流新媒体平台传播特性，打破传统写作思维，从文案创意构思、受众洞察、选题策划入手，系统讲述标题撰写、内容表达、风格适配、场景化创作等核心技能，兼顾理论知识与实战训练，引导学生理解新媒体文案“流量与价值并存”的创作原则。本课程通过经典案例拆解、平台规则分析、主题创作练习、小组互评等形式，旨在让学生掌握不同场景下的文案写作技巧，能独立完成符合平台特性的新媒体文案创作，同时培养学生的新媒体传播思维、创意表达能力和内容审美素养，为未来从事新媒体运营、品牌传播、内容创作等相关工作打下基础，同时也适用于个人新媒体账号的运营与内容输出，比较契合微专业复合型人才的培养目标。</w:t>
      </w:r>
    </w:p>
    <w:p w14:paraId="1CEFD29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4.《网络新闻评论》</w:t>
      </w:r>
    </w:p>
    <w:p w14:paraId="376E95CA">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围绕网络时代新媒体的新闻评论基本要素、思维方法、基本素养、论证过程、观点创新、标题制作、写作思路、表达互动等内容进行系统讲授和训练。通过布置任务促动学生积极准备和表达，加强阅读、交流和写作等实务实践，在短时间内培育评论观察分析能力、写作基本思维和表达能力，适应新媒体对于评论短平快的要求。</w:t>
      </w:r>
    </w:p>
    <w:p w14:paraId="2875434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5.《网络舆情监测与研判》</w:t>
      </w:r>
    </w:p>
    <w:p w14:paraId="35A37714">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是网络舆情相关微专业的核心课程，系统讲解网络舆情监测与研判的基础理论、核心方法、实操技能和应用规范。课程立足新媒体环境下网络舆情的发展特征与传播规律，从舆情监测体系搭建、数据采集与分析、舆情研判与预警、舆情应对与引导等核心环节展开教学，融合理论知识、案例分析与实操训练，培养学生运用专业工具开展网络舆情工作的能力，同时强化学生的媒介素养、社会责任与家国情怀，使其能胜任各类企事业单位、党政机关的网络舆情相关工作。</w:t>
      </w:r>
    </w:p>
    <w:p w14:paraId="5B1C0425">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sz w:val="24"/>
        </w:rPr>
      </w:pPr>
      <w:r>
        <w:rPr>
          <w:rFonts w:hint="eastAsia" w:ascii="黑体" w:hAnsi="黑体" w:eastAsia="黑体" w:cs="黑体"/>
          <w:b w:val="0"/>
          <w:bCs w:val="0"/>
          <w:sz w:val="32"/>
          <w:szCs w:val="32"/>
          <w:lang w:val="en-US" w:eastAsia="zh-CN"/>
          <w14:ligatures w14:val="none"/>
        </w:rPr>
        <w:t>八、报名和咨询</w:t>
      </w:r>
    </w:p>
    <w:p w14:paraId="5CD7DD07">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有意报名的同学请加QQ群（群号</w:t>
      </w:r>
      <w:r>
        <w:rPr>
          <w:rFonts w:hint="eastAsia" w:ascii="仿宋" w:hAnsi="仿宋" w:eastAsia="仿宋" w:cs="仿宋"/>
          <w:sz w:val="32"/>
          <w:szCs w:val="32"/>
          <w:lang w:eastAsia="zh-CN"/>
        </w:rPr>
        <w:t>：</w:t>
      </w:r>
      <w:r>
        <w:rPr>
          <w:rFonts w:hint="eastAsia" w:ascii="仿宋" w:hAnsi="仿宋" w:eastAsia="仿宋" w:cs="仿宋"/>
          <w:sz w:val="32"/>
          <w:szCs w:val="32"/>
        </w:rPr>
        <w:t>1084335102 ），下载填写《江苏师范大学学生微专业申请表》，并于3月</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 日17：1</w:t>
      </w:r>
      <w:r>
        <w:rPr>
          <w:rFonts w:hint="eastAsia" w:ascii="仿宋" w:hAnsi="仿宋" w:eastAsia="仿宋" w:cs="仿宋"/>
          <w:sz w:val="32"/>
          <w:szCs w:val="32"/>
          <w:lang w:val="en-US" w:eastAsia="zh-CN"/>
        </w:rPr>
        <w:t>0</w:t>
      </w:r>
      <w:bookmarkStart w:id="18" w:name="_GoBack"/>
      <w:bookmarkEnd w:id="18"/>
      <w:r>
        <w:rPr>
          <w:rFonts w:hint="eastAsia" w:ascii="仿宋" w:hAnsi="仿宋" w:eastAsia="仿宋" w:cs="仿宋"/>
          <w:sz w:val="32"/>
          <w:szCs w:val="32"/>
        </w:rPr>
        <w:t>前报送至静远楼1711教务办公室。</w:t>
      </w:r>
    </w:p>
    <w:p w14:paraId="60472A5C">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工作咨询、联系人：佟老师。</w:t>
      </w:r>
    </w:p>
    <w:p w14:paraId="2530FCF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QQ群二维码：</w:t>
      </w:r>
    </w:p>
    <w:p w14:paraId="1D62BAEE">
      <w:pPr>
        <w:spacing w:after="0" w:line="279" w:lineRule="auto"/>
        <w:jc w:val="center"/>
        <w:rPr>
          <w:rFonts w:ascii="宋体" w:hAnsi="宋体" w:eastAsia="宋体"/>
          <w:sz w:val="24"/>
        </w:rPr>
      </w:pPr>
      <w:r>
        <w:rPr>
          <w:rFonts w:hint="eastAsia"/>
        </w:rPr>
        <w:drawing>
          <wp:inline distT="0" distB="0" distL="114300" distR="114300">
            <wp:extent cx="1214755" cy="2160905"/>
            <wp:effectExtent l="0" t="0" r="4445" b="10795"/>
            <wp:docPr id="3" name="图片 3" descr="94011a01843d0b0277a93f5ace30a3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4011a01843d0b0277a93f5ace30a38d"/>
                    <pic:cNvPicPr>
                      <a:picLocks noChangeAspect="1"/>
                    </pic:cNvPicPr>
                  </pic:nvPicPr>
                  <pic:blipFill>
                    <a:blip r:embed="rId6"/>
                    <a:stretch>
                      <a:fillRect/>
                    </a:stretch>
                  </pic:blipFill>
                  <pic:spPr>
                    <a:xfrm>
                      <a:off x="0" y="0"/>
                      <a:ext cx="1214755" cy="2160905"/>
                    </a:xfrm>
                    <a:prstGeom prst="rect">
                      <a:avLst/>
                    </a:prstGeom>
                  </pic:spPr>
                </pic:pic>
              </a:graphicData>
            </a:graphic>
          </wp:inline>
        </w:drawing>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C88DC56-9C8D-4393-9829-346B7A1B249E}"/>
  </w:font>
  <w:font w:name="黑体">
    <w:panose1 w:val="02010609060101010101"/>
    <w:charset w:val="86"/>
    <w:family w:val="auto"/>
    <w:pitch w:val="default"/>
    <w:sig w:usb0="800002BF" w:usb1="38CF7CFA" w:usb2="00000016" w:usb3="00000000" w:csb0="00040001" w:csb1="00000000"/>
    <w:embedRegular r:id="rId2" w:fontKey="{DD847E48-FD52-46BE-BDD9-45D4DE542F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5256E5A5-7828-482A-84EA-19306AE73BC0}"/>
  </w:font>
  <w:font w:name="仿宋">
    <w:panose1 w:val="02010609060101010101"/>
    <w:charset w:val="86"/>
    <w:family w:val="auto"/>
    <w:pitch w:val="default"/>
    <w:sig w:usb0="800002BF" w:usb1="38CF7CFA" w:usb2="00000016" w:usb3="00000000" w:csb0="00040001" w:csb1="00000000"/>
    <w:embedRegular r:id="rId4" w:fontKey="{B969FB94-F25B-4E2D-96F9-0EB927FA006C}"/>
  </w:font>
  <w:font w:name="楷体">
    <w:panose1 w:val="02010609060101010101"/>
    <w:charset w:val="86"/>
    <w:family w:val="auto"/>
    <w:pitch w:val="default"/>
    <w:sig w:usb0="800002BF" w:usb1="38CF7CFA" w:usb2="00000016" w:usb3="00000000" w:csb0="00040001" w:csb1="00000000"/>
    <w:embedRegular r:id="rId5" w:fontKey="{2E7D536C-5085-4D1F-B33F-C2197D8F47E2}"/>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061830"/>
    <w:rsid w:val="001A1EC7"/>
    <w:rsid w:val="001E5B6E"/>
    <w:rsid w:val="001F5DD2"/>
    <w:rsid w:val="002171B6"/>
    <w:rsid w:val="00300BED"/>
    <w:rsid w:val="003D3959"/>
    <w:rsid w:val="00421038"/>
    <w:rsid w:val="004D220C"/>
    <w:rsid w:val="004E1D5A"/>
    <w:rsid w:val="00570EED"/>
    <w:rsid w:val="00630A57"/>
    <w:rsid w:val="006429BE"/>
    <w:rsid w:val="00752E68"/>
    <w:rsid w:val="007844E2"/>
    <w:rsid w:val="0078492C"/>
    <w:rsid w:val="008A2774"/>
    <w:rsid w:val="00911E24"/>
    <w:rsid w:val="009613C3"/>
    <w:rsid w:val="009724DC"/>
    <w:rsid w:val="009779B3"/>
    <w:rsid w:val="00A64258"/>
    <w:rsid w:val="00AD0FBB"/>
    <w:rsid w:val="00B14709"/>
    <w:rsid w:val="00B21122"/>
    <w:rsid w:val="00B67FE4"/>
    <w:rsid w:val="00BA59BB"/>
    <w:rsid w:val="00C74BC4"/>
    <w:rsid w:val="00C900F4"/>
    <w:rsid w:val="00CC6DEF"/>
    <w:rsid w:val="00D05706"/>
    <w:rsid w:val="00D67664"/>
    <w:rsid w:val="00D81FD5"/>
    <w:rsid w:val="00DA1402"/>
    <w:rsid w:val="00DA7069"/>
    <w:rsid w:val="00DC4FD2"/>
    <w:rsid w:val="00E85A10"/>
    <w:rsid w:val="00F11E95"/>
    <w:rsid w:val="00FA6A35"/>
    <w:rsid w:val="00FB622D"/>
    <w:rsid w:val="02BF3353"/>
    <w:rsid w:val="051536FE"/>
    <w:rsid w:val="067D59FE"/>
    <w:rsid w:val="088E7A4F"/>
    <w:rsid w:val="089D5EE4"/>
    <w:rsid w:val="092C1016"/>
    <w:rsid w:val="09F4422A"/>
    <w:rsid w:val="0A1E12A6"/>
    <w:rsid w:val="0AB319EF"/>
    <w:rsid w:val="0B7173E9"/>
    <w:rsid w:val="0BE04A65"/>
    <w:rsid w:val="0CE81EF4"/>
    <w:rsid w:val="0DC0225D"/>
    <w:rsid w:val="0EE25F18"/>
    <w:rsid w:val="0EEB065A"/>
    <w:rsid w:val="0F072309"/>
    <w:rsid w:val="0F0E7B3C"/>
    <w:rsid w:val="10386C2E"/>
    <w:rsid w:val="12171F2A"/>
    <w:rsid w:val="15E72E94"/>
    <w:rsid w:val="16EF3DAF"/>
    <w:rsid w:val="17A728DB"/>
    <w:rsid w:val="17EC4792"/>
    <w:rsid w:val="18CE5C46"/>
    <w:rsid w:val="1AD734D7"/>
    <w:rsid w:val="1C3D2E25"/>
    <w:rsid w:val="1CFC7225"/>
    <w:rsid w:val="1D70376F"/>
    <w:rsid w:val="1E6F1B86"/>
    <w:rsid w:val="1ECC2D6F"/>
    <w:rsid w:val="20210D51"/>
    <w:rsid w:val="20A26336"/>
    <w:rsid w:val="21F53AA2"/>
    <w:rsid w:val="23720241"/>
    <w:rsid w:val="23B32608"/>
    <w:rsid w:val="24973CD7"/>
    <w:rsid w:val="25394189"/>
    <w:rsid w:val="257A4465"/>
    <w:rsid w:val="259F1096"/>
    <w:rsid w:val="26804A23"/>
    <w:rsid w:val="26C863CA"/>
    <w:rsid w:val="26FD2518"/>
    <w:rsid w:val="271B474C"/>
    <w:rsid w:val="277976C4"/>
    <w:rsid w:val="27B37F60"/>
    <w:rsid w:val="287700A8"/>
    <w:rsid w:val="290B259E"/>
    <w:rsid w:val="29916F47"/>
    <w:rsid w:val="29E76B67"/>
    <w:rsid w:val="2A2230DE"/>
    <w:rsid w:val="2A224043"/>
    <w:rsid w:val="2A7B774D"/>
    <w:rsid w:val="2CC729E4"/>
    <w:rsid w:val="2D004181"/>
    <w:rsid w:val="2D0619FA"/>
    <w:rsid w:val="2EDE49DD"/>
    <w:rsid w:val="2F4A3E20"/>
    <w:rsid w:val="30C10112"/>
    <w:rsid w:val="30E262DA"/>
    <w:rsid w:val="313A6116"/>
    <w:rsid w:val="314D5E4A"/>
    <w:rsid w:val="31722255"/>
    <w:rsid w:val="319969B0"/>
    <w:rsid w:val="31DC6F95"/>
    <w:rsid w:val="32042FE4"/>
    <w:rsid w:val="320F4EAD"/>
    <w:rsid w:val="321F7AA1"/>
    <w:rsid w:val="32BD6FFF"/>
    <w:rsid w:val="3360497A"/>
    <w:rsid w:val="336B0809"/>
    <w:rsid w:val="343E7CCC"/>
    <w:rsid w:val="35CD420E"/>
    <w:rsid w:val="35CF507F"/>
    <w:rsid w:val="35F21B5C"/>
    <w:rsid w:val="364303DF"/>
    <w:rsid w:val="365930CC"/>
    <w:rsid w:val="374A3E66"/>
    <w:rsid w:val="37894BC8"/>
    <w:rsid w:val="38E30E42"/>
    <w:rsid w:val="3A6D0CCE"/>
    <w:rsid w:val="3AC76C6D"/>
    <w:rsid w:val="3BD57167"/>
    <w:rsid w:val="3D221248"/>
    <w:rsid w:val="3E524A9F"/>
    <w:rsid w:val="3EDC25BB"/>
    <w:rsid w:val="3F0B69EB"/>
    <w:rsid w:val="403E177F"/>
    <w:rsid w:val="40BC4452"/>
    <w:rsid w:val="41456B3D"/>
    <w:rsid w:val="41831943"/>
    <w:rsid w:val="41FE7B14"/>
    <w:rsid w:val="421B33FA"/>
    <w:rsid w:val="42FE6FA4"/>
    <w:rsid w:val="438D657A"/>
    <w:rsid w:val="441E71D2"/>
    <w:rsid w:val="44C935E1"/>
    <w:rsid w:val="455732CB"/>
    <w:rsid w:val="45C51FFB"/>
    <w:rsid w:val="4703102D"/>
    <w:rsid w:val="48B620CF"/>
    <w:rsid w:val="49284D7B"/>
    <w:rsid w:val="4A49144C"/>
    <w:rsid w:val="4A8050B7"/>
    <w:rsid w:val="4BD765E4"/>
    <w:rsid w:val="4D2910C1"/>
    <w:rsid w:val="4D6C5536"/>
    <w:rsid w:val="4D913EBB"/>
    <w:rsid w:val="4FCC3F86"/>
    <w:rsid w:val="500951DA"/>
    <w:rsid w:val="50406E4E"/>
    <w:rsid w:val="50AD025B"/>
    <w:rsid w:val="513C680D"/>
    <w:rsid w:val="54EA55DA"/>
    <w:rsid w:val="55627A53"/>
    <w:rsid w:val="55D122F6"/>
    <w:rsid w:val="55DE0692"/>
    <w:rsid w:val="565E627F"/>
    <w:rsid w:val="57911D3D"/>
    <w:rsid w:val="5A1B4488"/>
    <w:rsid w:val="5B1A6F19"/>
    <w:rsid w:val="5CDD3C76"/>
    <w:rsid w:val="5CEE19DF"/>
    <w:rsid w:val="5FC829BC"/>
    <w:rsid w:val="5FEB1AE5"/>
    <w:rsid w:val="6098413C"/>
    <w:rsid w:val="60F8107F"/>
    <w:rsid w:val="615522A5"/>
    <w:rsid w:val="618446C0"/>
    <w:rsid w:val="62092E18"/>
    <w:rsid w:val="626F711E"/>
    <w:rsid w:val="62A80882"/>
    <w:rsid w:val="64373C6C"/>
    <w:rsid w:val="64552344"/>
    <w:rsid w:val="64CC6AAA"/>
    <w:rsid w:val="65AE61B0"/>
    <w:rsid w:val="65D73FEF"/>
    <w:rsid w:val="6721173E"/>
    <w:rsid w:val="67BF12CC"/>
    <w:rsid w:val="67E65066"/>
    <w:rsid w:val="68150768"/>
    <w:rsid w:val="68923B67"/>
    <w:rsid w:val="69747710"/>
    <w:rsid w:val="6A56738A"/>
    <w:rsid w:val="6ABC4ECB"/>
    <w:rsid w:val="6CD12593"/>
    <w:rsid w:val="6E773352"/>
    <w:rsid w:val="6F9603E0"/>
    <w:rsid w:val="72874010"/>
    <w:rsid w:val="729F135A"/>
    <w:rsid w:val="74220495"/>
    <w:rsid w:val="747B5DF7"/>
    <w:rsid w:val="749845C8"/>
    <w:rsid w:val="761C7166"/>
    <w:rsid w:val="77BE04D4"/>
    <w:rsid w:val="77E65C7D"/>
    <w:rsid w:val="77E85551"/>
    <w:rsid w:val="78370287"/>
    <w:rsid w:val="79FA554C"/>
    <w:rsid w:val="7A3251AA"/>
    <w:rsid w:val="7A794B87"/>
    <w:rsid w:val="7B8B0774"/>
    <w:rsid w:val="7BFB4741"/>
    <w:rsid w:val="7C225A26"/>
    <w:rsid w:val="7D256900"/>
    <w:rsid w:val="7D2A2168"/>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Autospacing="1" w:after="0" w:afterAutospacing="1"/>
    </w:pPr>
    <w:rPr>
      <w:rFonts w:cs="Times New Roman"/>
      <w:kern w:val="0"/>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paragraph" w:customStyle="1" w:styleId="37">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8">
    <w:name w:val="页眉 字符"/>
    <w:basedOn w:val="17"/>
    <w:link w:val="12"/>
    <w:qFormat/>
    <w:uiPriority w:val="99"/>
    <w:rPr>
      <w:rFonts w:asciiTheme="minorHAnsi" w:hAnsiTheme="minorHAnsi" w:eastAsiaTheme="minorEastAsia" w:cstheme="minorBidi"/>
      <w:kern w:val="2"/>
      <w:sz w:val="18"/>
      <w:szCs w:val="18"/>
      <w14:ligatures w14:val="standardContextual"/>
    </w:rPr>
  </w:style>
  <w:style w:type="character" w:customStyle="1" w:styleId="39">
    <w:name w:val="页脚 字符"/>
    <w:basedOn w:val="17"/>
    <w:link w:val="11"/>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5555</Words>
  <Characters>5619</Characters>
  <Lines>40</Lines>
  <Paragraphs>11</Paragraphs>
  <TotalTime>59</TotalTime>
  <ScaleCrop>false</ScaleCrop>
  <LinksUpToDate>false</LinksUpToDate>
  <CharactersWithSpaces>5627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2026-03-12T06:30:00Z</dcterms:created>
  <dc:creator>永乐 李</dc:creator>
  <cp:lastModifiedBy>灵灵</cp:lastModifiedBy>
  <dcterms:modified xsi:type="dcterms:W3CDTF">2026-03-14T09:28:03Z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B37781A43E814A6AA63A4F87354A8D7E_12</vt:lpwstr>
  </property>
</Properties>
</file>