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B983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江苏师范大学物联智能感知与电气控制</w:t>
      </w:r>
    </w:p>
    <w:p w14:paraId="5071AE2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微专业2026年招生简章</w:t>
      </w:r>
    </w:p>
    <w:p w14:paraId="29547551">
      <w:pPr>
        <w:spacing w:line="251" w:lineRule="auto"/>
        <w:rPr>
          <w:rFonts w:ascii="Arial"/>
          <w:sz w:val="21"/>
        </w:rPr>
      </w:pPr>
    </w:p>
    <w:p w14:paraId="5FDEDBEC">
      <w:pPr>
        <w:pStyle w:val="2"/>
        <w:keepNext w:val="0"/>
        <w:keepLines w:val="0"/>
        <w:pageBreakBefore w:val="0"/>
        <w:widowControl/>
        <w:kinsoku w:val="0"/>
        <w:wordWrap/>
        <w:overflowPunct/>
        <w:topLinePunct w:val="0"/>
        <w:autoSpaceDE w:val="0"/>
        <w:autoSpaceDN w:val="0"/>
        <w:bidi w:val="0"/>
        <w:adjustRightInd w:val="0"/>
        <w:snapToGrid w:val="0"/>
        <w:spacing w:before="0" w:beforeLines="100" w:line="576" w:lineRule="exact"/>
        <w:ind w:firstLine="640" w:firstLineChars="200"/>
        <w:jc w:val="both"/>
        <w:textAlignment w:val="baseline"/>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为响应国家智能制造、数字经济发展战略，对接智慧城市、智慧农业、智能家居等产业人才需求，江苏师范大学电气工程及自动化学院牵头打造物联智能感知与电气控制微专业，融合电气工程、自动化、物联网、人工智能等多学科知识，采用产教融合、项目驱动的育人模式，培养贯通物联网智能感知与电气控制工程应用的复合型新工科人才。现面向全校符合条件的学生开放招生，具体事宜如下：</w:t>
      </w:r>
    </w:p>
    <w:p w14:paraId="036EAB2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一、微专业介绍</w:t>
      </w:r>
    </w:p>
    <w:p w14:paraId="5AB3B5E3">
      <w:pPr>
        <w:pStyle w:val="2"/>
        <w:keepNext w:val="0"/>
        <w:keepLines w:val="0"/>
        <w:pageBreakBefore w:val="0"/>
        <w:wordWrap/>
        <w:overflowPunct/>
        <w:topLinePunct w:val="0"/>
        <w:bidi w:val="0"/>
        <w:spacing w:line="576" w:lineRule="exact"/>
        <w:ind w:right="182" w:firstLine="640" w:firstLineChars="200"/>
        <w:jc w:val="both"/>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本微专业隶属于工科门类，由电气工程及自动化学院牵头、南京科沃信息技术有限公司深度合作建设，总修读学分10分，设置5门核心课程，全流程采用项目驱动式学习，依托数字孪生自动化系统平台、工业物联网实训中心等先进教学载体，构建“感知-互联-控制-应用”完整技术链。</w:t>
      </w:r>
    </w:p>
    <w:p w14:paraId="3556FA46">
      <w:pPr>
        <w:pStyle w:val="2"/>
        <w:keepNext w:val="0"/>
        <w:keepLines w:val="0"/>
        <w:pageBreakBefore w:val="0"/>
        <w:wordWrap/>
        <w:overflowPunct/>
        <w:topLinePunct w:val="0"/>
        <w:bidi w:val="0"/>
        <w:spacing w:line="576" w:lineRule="exact"/>
        <w:ind w:right="127" w:firstLine="640" w:firstLineChars="200"/>
        <w:jc w:val="both"/>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专业以“AI+工业物联网”为核心，打破传统学科壁垒，融合电气工程及其自动化、自动化、通信工程等专业核心知识，通过校企协同育人，引入行业真实案例与工程项目，让学生掌握智能传感、嵌入式开发、电气控制、物联网系统设计等核心技能，具备将人工智能、云计算、数字孪生等前沿技术融合应用的工程实践能力，毕业后可对接智能制造、物联网技术研发、工业自动化系统集成等领域的岗位需求。</w:t>
      </w:r>
    </w:p>
    <w:p w14:paraId="6FD324E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二、培养目标</w:t>
      </w:r>
    </w:p>
    <w:p w14:paraId="5CE2B1A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（一）培养方向</w:t>
      </w:r>
    </w:p>
    <w:p w14:paraId="2D91F410">
      <w:pPr>
        <w:pStyle w:val="2"/>
        <w:keepNext w:val="0"/>
        <w:keepLines w:val="0"/>
        <w:pageBreakBefore w:val="0"/>
        <w:wordWrap/>
        <w:overflowPunct/>
        <w:topLinePunct w:val="0"/>
        <w:bidi w:val="0"/>
        <w:spacing w:line="576" w:lineRule="exact"/>
        <w:ind w:right="188" w:firstLine="640" w:firstLineChars="200"/>
        <w:jc w:val="both"/>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面向智能制造、智慧城市、智慧农业、智能家居等重点产业，培养具备系统性工程思维和软硬融合能力，能在物联网智能感知与电气控制交叉领域从事技术研发、系统设计、项目实施与运维的复合型应用型人才。</w:t>
      </w:r>
    </w:p>
    <w:p w14:paraId="3BDD118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（二）培养模式</w:t>
      </w:r>
    </w:p>
    <w:p w14:paraId="78FDF19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1.特色课程设计</w:t>
      </w:r>
    </w:p>
    <w:p w14:paraId="19C03EB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（1）模块化课程结构：课程体系分为基础模块、核心模块、拓展实践模块，层层递进，从理论基础到软硬件实操，再到综合项目开发，形成完整的能力培养体系。</w:t>
      </w:r>
    </w:p>
    <w:p w14:paraId="371283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（2）前沿技术课程：融入人工智能、云计算、边缘计算、数字孪生、工业物联网等前沿技术，贴合产业技术发展趋势，培养学生前沿技术应用能力。</w:t>
      </w:r>
    </w:p>
    <w:p w14:paraId="51E012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2.实践与创新</w:t>
      </w:r>
    </w:p>
    <w:p w14:paraId="6E78D25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（1）项目驱动：每门课程至少40%学时为实践教学，依托数字孪生自动化系统平台，让学生从设备选型、系统集成到调试优化，亲历完整的工程开发流程。</w:t>
      </w:r>
    </w:p>
    <w:p w14:paraId="66710B5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（2）企业项目实训：与5家省级以上高新技术企业共建校外实践基地，引入企业真实工程项目，由企业工程师全程指导，实现“所学即所用”。</w:t>
      </w:r>
    </w:p>
    <w:p w14:paraId="5844262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（3）创新创业支持：依托校内实训中心和校企合作资源，为学生提供创新创业项目孵化平台，培养创新思维与项目落地能力。</w:t>
      </w:r>
    </w:p>
    <w:p w14:paraId="2AA8BC7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3.综合素质培养</w:t>
      </w:r>
    </w:p>
    <w:p w14:paraId="51EE8F6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注重培养学生的跨学科协作能力、复杂工程问题解决能力、行业职业道德与社会责任，打造符合产业需求的高素质工程技术人才。</w:t>
      </w:r>
    </w:p>
    <w:p w14:paraId="61969EF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（三）培养要求</w:t>
      </w:r>
    </w:p>
    <w:p w14:paraId="6158364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1.理论基础</w:t>
      </w:r>
    </w:p>
    <w:p w14:paraId="63698D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掌握数据分析、嵌入式系统、电气控制、物联网系统设计的核心理论知识，理解“感知-互联-控制-应用”的系统逻辑。</w:t>
      </w:r>
    </w:p>
    <w:p w14:paraId="1EF3E13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2.实践能力</w:t>
      </w:r>
    </w:p>
    <w:p w14:paraId="30184ED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具备 Python数据分析、STM32/树莓派嵌入式开发、PLC与变频器实操、物联网系统架构设计与调试的实操能力，能独立完成小型物联网与电气控制综合项目。</w:t>
      </w:r>
    </w:p>
    <w:p w14:paraId="386812D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3.市场与政策</w:t>
      </w:r>
    </w:p>
    <w:p w14:paraId="2D29688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了解智能制造、工业互联网等国家产业政策与行业发展趋势，把握物联网与电气控制交叉领域的市场需求与技术方向。</w:t>
      </w:r>
    </w:p>
    <w:p w14:paraId="269E166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4.社会责任与职业道德</w:t>
      </w:r>
    </w:p>
    <w:p w14:paraId="353F388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恪守工程技术行业职业道德，具备安全生产、数据安全、环境保护的意识，能在工程实践中兼顾技术价值与社会价值。</w:t>
      </w:r>
    </w:p>
    <w:p w14:paraId="7A39F3B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三、专业特色</w:t>
      </w:r>
    </w:p>
    <w:p w14:paraId="450C3A0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（一）前沿课程设置</w:t>
      </w:r>
    </w:p>
    <w:p w14:paraId="2809F7D8">
      <w:pPr>
        <w:pStyle w:val="2"/>
        <w:keepNext w:val="0"/>
        <w:keepLines w:val="0"/>
        <w:pageBreakBefore w:val="0"/>
        <w:wordWrap/>
        <w:overflowPunct/>
        <w:topLinePunct w:val="0"/>
        <w:bidi w:val="0"/>
        <w:spacing w:line="576" w:lineRule="exact"/>
        <w:ind w:right="77" w:firstLine="640" w:firstLineChars="200"/>
        <w:jc w:val="both"/>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构建以“感知层-网络层-控制层-应用层”为核心的课程模块，整合智能传感器、工业物联网通信、AI算法、数字孪生等前沿技术，形成“软硬兼施、云边端协同”的知识架构，贴合产业技术前沿。</w:t>
      </w:r>
    </w:p>
    <w:p w14:paraId="408F1D4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（二）实践导向</w:t>
      </w:r>
    </w:p>
    <w:p w14:paraId="6CFD5DD3">
      <w:pPr>
        <w:pStyle w:val="2"/>
        <w:keepNext w:val="0"/>
        <w:keepLines w:val="0"/>
        <w:pageBreakBefore w:val="0"/>
        <w:wordWrap/>
        <w:overflowPunct/>
        <w:topLinePunct w:val="0"/>
        <w:bidi w:val="0"/>
        <w:spacing w:line="576" w:lineRule="exact"/>
        <w:ind w:firstLine="640" w:firstLineChars="200"/>
        <w:jc w:val="both"/>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总学分中实践学分占比50%，校内建有数字孪生与自动化控制系统综合实训中心、信捷卓越工程师培训中心，校外有企业真实实训场景，全程以项目驱动教学，强化工程实践能力。</w:t>
      </w:r>
    </w:p>
    <w:p w14:paraId="14A4802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（三）跨学科融合</w:t>
      </w:r>
    </w:p>
    <w:p w14:paraId="6F8AE920">
      <w:pPr>
        <w:pStyle w:val="2"/>
        <w:keepNext w:val="0"/>
        <w:keepLines w:val="0"/>
        <w:pageBreakBefore w:val="0"/>
        <w:wordWrap/>
        <w:overflowPunct/>
        <w:topLinePunct w:val="0"/>
        <w:bidi w:val="0"/>
        <w:spacing w:line="576" w:lineRule="exact"/>
        <w:ind w:right="11" w:firstLine="640" w:firstLineChars="200"/>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融合电气工程、自动化、计算机科学与技术、通信工程等多学科知识，打破专业壁垒，培养学生跨学科系统思维，适配复合型人才市场需求。</w:t>
      </w:r>
    </w:p>
    <w:p w14:paraId="15A812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（四）社会责任与可持续发展</w:t>
      </w:r>
    </w:p>
    <w:p w14:paraId="3B806F17">
      <w:pPr>
        <w:pStyle w:val="2"/>
        <w:keepNext w:val="0"/>
        <w:keepLines w:val="0"/>
        <w:pageBreakBefore w:val="0"/>
        <w:wordWrap/>
        <w:overflowPunct/>
        <w:topLinePunct w:val="0"/>
        <w:bidi w:val="0"/>
        <w:spacing w:line="576" w:lineRule="exact"/>
        <w:ind w:right="6" w:firstLine="640" w:firstLineChars="200"/>
        <w:jc w:val="both"/>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教学内容对接智能制造、智慧城市、智慧农业等绿色低碳产业领域，注重培养学生在电气控制、物联网系统设计中融入节能降耗、资源高效利用的设计思维，引导学生运用智能感知与控制技术解决产业升级、生态保护、乡村振兴中的实际问题。同时， 通过企业真实项目实训，让学生在工程实践中树立安全生产、数据安全、环境保护的职业意识，恪守工程技术行业职业道德与行为规范。</w:t>
      </w:r>
    </w:p>
    <w:p w14:paraId="14A99CA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四、资源保障</w:t>
      </w:r>
    </w:p>
    <w:p w14:paraId="31A5B90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（一）教学团队</w:t>
      </w:r>
    </w:p>
    <w:p w14:paraId="153CDCC8">
      <w:pPr>
        <w:pStyle w:val="2"/>
        <w:keepNext w:val="0"/>
        <w:keepLines w:val="0"/>
        <w:pageBreakBefore w:val="0"/>
        <w:wordWrap/>
        <w:overflowPunct/>
        <w:topLinePunct w:val="0"/>
        <w:bidi w:val="0"/>
        <w:spacing w:line="576" w:lineRule="exact"/>
        <w:ind w:right="6" w:firstLine="640" w:firstLineChars="200"/>
        <w:jc w:val="both"/>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组建由8名高校骨干教师+3名企业资深专家构成的复合型教学团队，其中高校教师教授1人、副教授4人，讲师（博士）2人，实验师1人，多名教师为“双师型”人才并入选省级人才计划，企业专家均为智慧农业、工业物联网领域的技术高管，团队兼具理论教学与工程实践指导能力，支撑“理论-研发应用”一体化教学。</w:t>
      </w:r>
    </w:p>
    <w:p w14:paraId="126B059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（二）课程资源</w:t>
      </w:r>
    </w:p>
    <w:p w14:paraId="4B18FA4D">
      <w:pPr>
        <w:pStyle w:val="2"/>
        <w:keepNext w:val="0"/>
        <w:keepLines w:val="0"/>
        <w:pageBreakBefore w:val="0"/>
        <w:wordWrap/>
        <w:overflowPunct/>
        <w:topLinePunct w:val="0"/>
        <w:bidi w:val="0"/>
        <w:spacing w:line="576" w:lineRule="exact"/>
        <w:ind w:right="4" w:firstLine="640" w:firstLineChars="200"/>
        <w:jc w:val="both"/>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配备标准化课程讲义、实验指导手册、行业案例库，依托校内实训平台打造虚实结合的教学资源，同时引入企业最新技术资料与工程项目案例，保障课程内容的实用性与前沿性。</w:t>
      </w:r>
    </w:p>
    <w:p w14:paraId="59B732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（三）创新创业平台</w:t>
      </w:r>
    </w:p>
    <w:p w14:paraId="2363991C">
      <w:pPr>
        <w:pStyle w:val="2"/>
        <w:keepNext w:val="0"/>
        <w:keepLines w:val="0"/>
        <w:pageBreakBefore w:val="0"/>
        <w:wordWrap/>
        <w:overflowPunct/>
        <w:topLinePunct w:val="0"/>
        <w:bidi w:val="0"/>
        <w:spacing w:line="576" w:lineRule="exact"/>
        <w:ind w:right="7" w:firstLine="640" w:firstLineChars="200"/>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校内拥有数字孪生自动化系统平台、工业物联网实训中心，配备西门子/信捷 PLC、工业触摸屏、变频器、多协议物联网设备等硬件；校外与5家省级以上高新技术企业共建实践基地，为学生提供创新创业项目实操与孵化平台。</w:t>
      </w:r>
    </w:p>
    <w:p w14:paraId="7193433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（四）学术资源</w:t>
      </w:r>
    </w:p>
    <w:p w14:paraId="22573F77">
      <w:pPr>
        <w:pStyle w:val="2"/>
        <w:keepNext w:val="0"/>
        <w:keepLines w:val="0"/>
        <w:pageBreakBefore w:val="0"/>
        <w:wordWrap/>
        <w:overflowPunct/>
        <w:topLinePunct w:val="0"/>
        <w:bidi w:val="0"/>
        <w:spacing w:line="576" w:lineRule="exact"/>
        <w:ind w:right="6" w:firstLine="640" w:firstLineChars="200"/>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依托学院电气工程、自动化等省级重点学科资源，为学生提供学术讲座、科研项目参与、学科竞赛指导等学术支持，助力学生夯实理论基础并拓展学术视野。</w:t>
      </w:r>
    </w:p>
    <w:p w14:paraId="551529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五、招生对象及条件</w:t>
      </w:r>
    </w:p>
    <w:p w14:paraId="4CA913AA">
      <w:pPr>
        <w:pStyle w:val="2"/>
        <w:keepNext w:val="0"/>
        <w:keepLines w:val="0"/>
        <w:pageBreakBefore w:val="0"/>
        <w:wordWrap/>
        <w:overflowPunct/>
        <w:topLinePunct w:val="0"/>
        <w:bidi w:val="0"/>
        <w:spacing w:line="576" w:lineRule="exact"/>
        <w:ind w:left="19" w:right="6" w:firstLine="688" w:firstLineChars="215"/>
        <w:rPr>
          <w:rFonts w:hint="eastAsia" w:ascii="楷体" w:hAnsi="楷体" w:eastAsia="楷体" w:cs="楷体"/>
          <w:b w:val="0"/>
          <w:bCs w:val="0"/>
          <w:snapToGrid/>
          <w:kern w:val="2"/>
          <w:sz w:val="32"/>
          <w:szCs w:val="32"/>
          <w:lang w:val="en-US" w:eastAsia="zh-CN" w:bidi="ar-SA"/>
        </w:rPr>
      </w:pPr>
      <w:r>
        <w:rPr>
          <w:rFonts w:hint="eastAsia" w:ascii="楷体" w:hAnsi="楷体" w:eastAsia="楷体" w:cs="楷体"/>
          <w:b w:val="0"/>
          <w:bCs w:val="0"/>
          <w:snapToGrid/>
          <w:kern w:val="2"/>
          <w:sz w:val="32"/>
          <w:szCs w:val="32"/>
          <w:lang w:val="en-US" w:eastAsia="zh-CN" w:bidi="ar-SA"/>
        </w:rPr>
        <w:t>（一）招生对象</w:t>
      </w:r>
    </w:p>
    <w:p w14:paraId="4013B92B">
      <w:pPr>
        <w:pStyle w:val="2"/>
        <w:keepNext w:val="0"/>
        <w:keepLines w:val="0"/>
        <w:pageBreakBefore w:val="0"/>
        <w:wordWrap/>
        <w:overflowPunct/>
        <w:topLinePunct w:val="0"/>
        <w:bidi w:val="0"/>
        <w:spacing w:line="576" w:lineRule="exact"/>
        <w:ind w:left="19" w:right="6" w:firstLine="688" w:firstLineChars="215"/>
      </w:pPr>
      <w:r>
        <w:rPr>
          <w:rFonts w:hint="eastAsia" w:ascii="仿宋" w:hAnsi="仿宋" w:eastAsia="仿宋" w:cs="仿宋"/>
          <w:snapToGrid/>
          <w:kern w:val="2"/>
          <w:sz w:val="32"/>
          <w:szCs w:val="32"/>
          <w:lang w:val="en-US" w:eastAsia="zh-CN" w:bidi="ar-SA"/>
        </w:rPr>
        <w:t>全校已完成《电路分析》《模拟电子技术》《数字电子技术》等专业基础课程（或内容相近课程）学习的电气工程及其自动化、自动化、电子信息工程、智能制造工程、机械设计制造及其自动化、计算机科学与技术等专业三年级本科生。</w:t>
      </w:r>
    </w:p>
    <w:p w14:paraId="49049937">
      <w:pPr>
        <w:pStyle w:val="2"/>
        <w:keepNext w:val="0"/>
        <w:keepLines w:val="0"/>
        <w:pageBreakBefore w:val="0"/>
        <w:wordWrap/>
        <w:overflowPunct/>
        <w:topLinePunct w:val="0"/>
        <w:bidi w:val="0"/>
        <w:spacing w:line="576" w:lineRule="exact"/>
        <w:ind w:left="53" w:firstLine="640" w:firstLineChars="200"/>
        <w:rPr>
          <w:rFonts w:hint="eastAsia" w:ascii="仿宋" w:hAnsi="仿宋" w:eastAsia="仿宋" w:cs="仿宋"/>
          <w:snapToGrid/>
          <w:kern w:val="2"/>
          <w:sz w:val="32"/>
          <w:szCs w:val="32"/>
          <w:lang w:val="en-US" w:eastAsia="zh-CN" w:bidi="ar-SA"/>
        </w:rPr>
      </w:pPr>
      <w:r>
        <w:rPr>
          <w:rFonts w:hint="eastAsia" w:ascii="楷体" w:hAnsi="楷体" w:eastAsia="楷体" w:cs="楷体"/>
          <w:b w:val="0"/>
          <w:bCs w:val="0"/>
          <w:snapToGrid/>
          <w:kern w:val="2"/>
          <w:sz w:val="32"/>
          <w:szCs w:val="32"/>
          <w:lang w:val="en-US" w:eastAsia="zh-CN" w:bidi="ar-SA"/>
        </w:rPr>
        <w:t>（二）计划招生人数：</w:t>
      </w:r>
      <w:r>
        <w:rPr>
          <w:rFonts w:hint="eastAsia" w:ascii="仿宋" w:hAnsi="仿宋" w:eastAsia="仿宋" w:cs="仿宋"/>
          <w:snapToGrid/>
          <w:kern w:val="2"/>
          <w:sz w:val="32"/>
          <w:szCs w:val="32"/>
          <w:lang w:val="en-US" w:eastAsia="zh-CN" w:bidi="ar-SA"/>
        </w:rPr>
        <w:t>每期拟招50人。</w:t>
      </w:r>
    </w:p>
    <w:p w14:paraId="6D7ED68C">
      <w:pPr>
        <w:pStyle w:val="2"/>
        <w:keepNext w:val="0"/>
        <w:keepLines w:val="0"/>
        <w:pageBreakBefore w:val="0"/>
        <w:wordWrap/>
        <w:overflowPunct/>
        <w:topLinePunct w:val="0"/>
        <w:bidi w:val="0"/>
        <w:spacing w:line="576" w:lineRule="exact"/>
        <w:ind w:left="53" w:firstLine="640" w:firstLineChars="200"/>
        <w:rPr>
          <w:rFonts w:hint="eastAsia" w:ascii="仿宋" w:hAnsi="仿宋" w:eastAsia="仿宋" w:cs="仿宋"/>
          <w:snapToGrid/>
          <w:kern w:val="2"/>
          <w:sz w:val="32"/>
          <w:szCs w:val="32"/>
          <w:lang w:val="en-US" w:eastAsia="zh-CN" w:bidi="ar-SA"/>
        </w:rPr>
      </w:pPr>
      <w:r>
        <w:rPr>
          <w:rFonts w:hint="eastAsia" w:ascii="楷体" w:hAnsi="楷体" w:eastAsia="楷体" w:cs="楷体"/>
          <w:b w:val="0"/>
          <w:bCs w:val="0"/>
          <w:snapToGrid/>
          <w:kern w:val="2"/>
          <w:sz w:val="32"/>
          <w:szCs w:val="32"/>
          <w:lang w:val="en-US" w:eastAsia="zh-CN" w:bidi="ar-SA"/>
        </w:rPr>
        <w:t>（三）学制、学分：</w:t>
      </w:r>
      <w:r>
        <w:rPr>
          <w:rFonts w:hint="eastAsia" w:ascii="仿宋" w:hAnsi="仿宋" w:eastAsia="仿宋" w:cs="仿宋"/>
          <w:snapToGrid/>
          <w:kern w:val="2"/>
          <w:sz w:val="32"/>
          <w:szCs w:val="32"/>
          <w:lang w:val="en-US" w:eastAsia="zh-CN" w:bidi="ar-SA"/>
        </w:rPr>
        <w:t>学制1年，总学分10。</w:t>
      </w:r>
    </w:p>
    <w:p w14:paraId="7619F927">
      <w:pPr>
        <w:pStyle w:val="2"/>
        <w:keepNext w:val="0"/>
        <w:keepLines w:val="0"/>
        <w:pageBreakBefore w:val="0"/>
        <w:wordWrap/>
        <w:overflowPunct/>
        <w:topLinePunct w:val="0"/>
        <w:bidi w:val="0"/>
        <w:spacing w:line="576" w:lineRule="exact"/>
        <w:ind w:left="53" w:firstLine="640" w:firstLineChars="200"/>
        <w:outlineLvl w:val="2"/>
        <w:rPr>
          <w:rFonts w:hint="eastAsia" w:ascii="仿宋" w:hAnsi="仿宋" w:eastAsia="仿宋" w:cs="仿宋"/>
          <w:snapToGrid/>
          <w:kern w:val="2"/>
          <w:sz w:val="32"/>
          <w:szCs w:val="32"/>
          <w:lang w:val="en-US" w:eastAsia="zh-CN" w:bidi="ar-SA"/>
        </w:rPr>
      </w:pPr>
      <w:r>
        <w:rPr>
          <w:rFonts w:hint="eastAsia" w:ascii="楷体" w:hAnsi="楷体" w:eastAsia="楷体" w:cs="楷体"/>
          <w:b w:val="0"/>
          <w:bCs w:val="0"/>
          <w:snapToGrid/>
          <w:kern w:val="2"/>
          <w:sz w:val="32"/>
          <w:szCs w:val="32"/>
          <w:lang w:val="en-US" w:eastAsia="zh-CN" w:bidi="ar-SA"/>
        </w:rPr>
        <w:t>（四）收费标准：8</w:t>
      </w:r>
      <w:r>
        <w:rPr>
          <w:rFonts w:hint="eastAsia" w:ascii="仿宋" w:hAnsi="仿宋" w:eastAsia="仿宋" w:cs="仿宋"/>
          <w:snapToGrid/>
          <w:kern w:val="2"/>
          <w:sz w:val="32"/>
          <w:szCs w:val="32"/>
          <w:lang w:val="en-US" w:eastAsia="zh-CN" w:bidi="ar-SA"/>
        </w:rPr>
        <w:t>0元/学分，合计800元</w:t>
      </w:r>
    </w:p>
    <w:p w14:paraId="36E9A607">
      <w:pPr>
        <w:pStyle w:val="2"/>
        <w:keepNext w:val="0"/>
        <w:keepLines w:val="0"/>
        <w:pageBreakBefore w:val="0"/>
        <w:wordWrap/>
        <w:overflowPunct/>
        <w:topLinePunct w:val="0"/>
        <w:bidi w:val="0"/>
        <w:spacing w:line="576" w:lineRule="exact"/>
        <w:ind w:left="53" w:firstLine="640" w:firstLineChars="200"/>
        <w:outlineLvl w:val="2"/>
        <w:rPr>
          <w:rFonts w:hint="eastAsia" w:ascii="仿宋" w:hAnsi="仿宋" w:eastAsia="仿宋" w:cs="仿宋"/>
          <w:snapToGrid/>
          <w:kern w:val="2"/>
          <w:sz w:val="32"/>
          <w:szCs w:val="32"/>
          <w:lang w:val="en-US" w:eastAsia="zh-CN" w:bidi="ar-SA"/>
        </w:rPr>
      </w:pPr>
      <w:r>
        <w:rPr>
          <w:rFonts w:hint="eastAsia" w:ascii="楷体" w:hAnsi="楷体" w:eastAsia="楷体" w:cs="楷体"/>
          <w:b w:val="0"/>
          <w:bCs w:val="0"/>
          <w:snapToGrid/>
          <w:kern w:val="2"/>
          <w:sz w:val="32"/>
          <w:szCs w:val="32"/>
          <w:lang w:val="en-US" w:eastAsia="zh-CN" w:bidi="ar-SA"/>
        </w:rPr>
        <w:t>（五）授课方式：</w:t>
      </w:r>
      <w:r>
        <w:rPr>
          <w:rFonts w:hint="eastAsia" w:ascii="仿宋" w:hAnsi="仿宋" w:eastAsia="仿宋" w:cs="仿宋"/>
          <w:snapToGrid/>
          <w:kern w:val="2"/>
          <w:sz w:val="32"/>
          <w:szCs w:val="32"/>
          <w:lang w:val="en-US" w:eastAsia="zh-CN" w:bidi="ar-SA"/>
        </w:rPr>
        <w:t>本微专业独立开班，学制一年，利用课余时间授课。全线下授课。</w:t>
      </w:r>
    </w:p>
    <w:p w14:paraId="06513D4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六、学分认定与证书授予</w:t>
      </w:r>
    </w:p>
    <w:p w14:paraId="1977E25B">
      <w:pPr>
        <w:pStyle w:val="2"/>
        <w:keepNext w:val="0"/>
        <w:keepLines w:val="0"/>
        <w:pageBreakBefore w:val="0"/>
        <w:wordWrap/>
        <w:overflowPunct/>
        <w:topLinePunct w:val="0"/>
        <w:bidi w:val="0"/>
        <w:spacing w:line="576" w:lineRule="exact"/>
        <w:ind w:right="184" w:firstLine="640" w:firstLineChars="200"/>
        <w:jc w:val="both"/>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学生完成微专业培养方案规定的课程并达到学习要求，由电气工程及自动化学院审核后提出结业名单，报教务处备案，由教务处统一颁发结业证书和成绩单。微专业是非学历教育，不授予学位。</w:t>
      </w:r>
    </w:p>
    <w:p w14:paraId="4231441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七、微专业课程</w:t>
      </w:r>
    </w:p>
    <w:p w14:paraId="4E60D67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（一）课程设置及学时分配表</w:t>
      </w:r>
    </w:p>
    <w:tbl>
      <w:tblPr>
        <w:tblStyle w:val="3"/>
        <w:tblW w:w="8798" w:type="dxa"/>
        <w:jc w:val="center"/>
        <w:tblLayout w:type="fixed"/>
        <w:tblCellMar>
          <w:top w:w="0" w:type="dxa"/>
          <w:left w:w="0" w:type="dxa"/>
          <w:bottom w:w="0" w:type="dxa"/>
          <w:right w:w="0" w:type="dxa"/>
        </w:tblCellMar>
      </w:tblPr>
      <w:tblGrid>
        <w:gridCol w:w="589"/>
        <w:gridCol w:w="3690"/>
        <w:gridCol w:w="838"/>
        <w:gridCol w:w="985"/>
        <w:gridCol w:w="1382"/>
        <w:gridCol w:w="1314"/>
      </w:tblGrid>
      <w:tr w14:paraId="7DA788A7">
        <w:tblPrEx>
          <w:tblCellMar>
            <w:top w:w="0" w:type="dxa"/>
            <w:left w:w="0" w:type="dxa"/>
            <w:bottom w:w="0" w:type="dxa"/>
            <w:right w:w="0" w:type="dxa"/>
          </w:tblCellMar>
        </w:tblPrEx>
        <w:trPr>
          <w:trHeight w:val="907" w:hRule="atLeast"/>
          <w:tblHeader/>
          <w:jc w:val="center"/>
        </w:trPr>
        <w:tc>
          <w:tcPr>
            <w:tcW w:w="589" w:type="dxa"/>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763CA435">
            <w:pPr>
              <w:snapToGrid w:val="0"/>
              <w:spacing w:line="240" w:lineRule="auto"/>
              <w:ind w:left="0" w:leftChars="0" w:right="0" w:rightChars="0" w:firstLine="0" w:firstLineChars="0"/>
              <w:jc w:val="center"/>
              <w:rPr>
                <w:rFonts w:hint="eastAsia" w:ascii="仿宋" w:hAnsi="仿宋" w:eastAsia="仿宋" w:cs="仿宋"/>
                <w:b/>
                <w:bCs w:val="0"/>
                <w:sz w:val="24"/>
                <w:szCs w:val="24"/>
              </w:rPr>
            </w:pPr>
            <w:r>
              <w:rPr>
                <w:rFonts w:hint="eastAsia" w:ascii="仿宋" w:hAnsi="仿宋" w:eastAsia="仿宋" w:cs="仿宋"/>
                <w:b/>
                <w:bCs w:val="0"/>
                <w:sz w:val="24"/>
                <w:szCs w:val="24"/>
              </w:rPr>
              <w:t>序号</w:t>
            </w:r>
          </w:p>
        </w:tc>
        <w:tc>
          <w:tcPr>
            <w:tcW w:w="3690" w:type="dxa"/>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07900A3D">
            <w:pPr>
              <w:snapToGrid w:val="0"/>
              <w:spacing w:line="240" w:lineRule="auto"/>
              <w:ind w:left="0" w:leftChars="0" w:right="0" w:rightChars="0" w:firstLine="0" w:firstLineChars="0"/>
              <w:jc w:val="center"/>
              <w:rPr>
                <w:rFonts w:hint="eastAsia" w:ascii="仿宋" w:hAnsi="仿宋" w:eastAsia="仿宋" w:cs="仿宋"/>
                <w:b/>
                <w:bCs w:val="0"/>
                <w:sz w:val="24"/>
                <w:szCs w:val="24"/>
              </w:rPr>
            </w:pPr>
            <w:r>
              <w:rPr>
                <w:rFonts w:hint="eastAsia" w:ascii="仿宋" w:hAnsi="仿宋" w:eastAsia="仿宋" w:cs="仿宋"/>
                <w:b/>
                <w:bCs w:val="0"/>
                <w:sz w:val="24"/>
                <w:szCs w:val="24"/>
              </w:rPr>
              <w:t>课程名称</w:t>
            </w:r>
          </w:p>
        </w:tc>
        <w:tc>
          <w:tcPr>
            <w:tcW w:w="838" w:type="dxa"/>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3CF07EBB">
            <w:pPr>
              <w:snapToGrid w:val="0"/>
              <w:spacing w:line="240" w:lineRule="auto"/>
              <w:ind w:left="0" w:leftChars="0" w:right="0" w:rightChars="0" w:firstLine="0" w:firstLineChars="0"/>
              <w:jc w:val="center"/>
              <w:rPr>
                <w:rFonts w:hint="eastAsia" w:ascii="仿宋" w:hAnsi="仿宋" w:eastAsia="仿宋" w:cs="仿宋"/>
                <w:b/>
                <w:bCs w:val="0"/>
                <w:sz w:val="24"/>
                <w:szCs w:val="24"/>
              </w:rPr>
            </w:pPr>
            <w:r>
              <w:rPr>
                <w:rFonts w:hint="eastAsia" w:ascii="仿宋" w:hAnsi="仿宋" w:eastAsia="仿宋" w:cs="仿宋"/>
                <w:b/>
                <w:bCs w:val="0"/>
                <w:sz w:val="24"/>
                <w:szCs w:val="24"/>
              </w:rPr>
              <w:t>学分</w:t>
            </w:r>
          </w:p>
        </w:tc>
        <w:tc>
          <w:tcPr>
            <w:tcW w:w="985" w:type="dxa"/>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67CED0EB">
            <w:pPr>
              <w:snapToGrid w:val="0"/>
              <w:spacing w:line="240" w:lineRule="auto"/>
              <w:ind w:left="0" w:leftChars="0" w:right="0" w:rightChars="0" w:firstLine="0" w:firstLineChars="0"/>
              <w:jc w:val="left"/>
              <w:rPr>
                <w:rFonts w:hint="eastAsia" w:ascii="仿宋" w:hAnsi="仿宋" w:eastAsia="仿宋" w:cs="仿宋"/>
                <w:b/>
                <w:bCs w:val="0"/>
                <w:sz w:val="24"/>
                <w:szCs w:val="24"/>
              </w:rPr>
            </w:pPr>
            <w:r>
              <w:rPr>
                <w:rFonts w:hint="eastAsia" w:ascii="仿宋" w:hAnsi="仿宋" w:eastAsia="仿宋" w:cs="仿宋"/>
                <w:b/>
                <w:bCs w:val="0"/>
                <w:sz w:val="24"/>
                <w:szCs w:val="24"/>
              </w:rPr>
              <w:t>学时</w:t>
            </w:r>
          </w:p>
        </w:tc>
        <w:tc>
          <w:tcPr>
            <w:tcW w:w="13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E0E2E4">
            <w:pPr>
              <w:snapToGrid w:val="0"/>
              <w:spacing w:line="240" w:lineRule="auto"/>
              <w:ind w:left="0" w:leftChars="0" w:right="0" w:rightChars="0" w:firstLine="0" w:firstLineChars="0"/>
              <w:jc w:val="left"/>
              <w:rPr>
                <w:rFonts w:hint="eastAsia" w:ascii="仿宋" w:hAnsi="仿宋" w:eastAsia="仿宋" w:cs="仿宋"/>
                <w:b/>
                <w:bCs w:val="0"/>
                <w:sz w:val="24"/>
                <w:szCs w:val="24"/>
              </w:rPr>
            </w:pPr>
            <w:r>
              <w:rPr>
                <w:rFonts w:hint="eastAsia" w:ascii="仿宋" w:hAnsi="仿宋" w:eastAsia="仿宋" w:cs="仿宋"/>
                <w:b/>
                <w:bCs w:val="0"/>
                <w:sz w:val="24"/>
                <w:szCs w:val="24"/>
              </w:rPr>
              <w:t>开设学期</w:t>
            </w:r>
          </w:p>
        </w:tc>
        <w:tc>
          <w:tcPr>
            <w:tcW w:w="1314" w:type="dxa"/>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1144373A">
            <w:pPr>
              <w:snapToGrid w:val="0"/>
              <w:spacing w:line="240" w:lineRule="auto"/>
              <w:ind w:left="0" w:leftChars="0" w:right="0" w:rightChars="0" w:firstLine="0" w:firstLineChars="0"/>
              <w:jc w:val="center"/>
              <w:rPr>
                <w:rFonts w:hint="default"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课程性质</w:t>
            </w:r>
          </w:p>
        </w:tc>
      </w:tr>
      <w:tr w14:paraId="2581D286">
        <w:tblPrEx>
          <w:tblCellMar>
            <w:top w:w="0" w:type="dxa"/>
            <w:left w:w="0" w:type="dxa"/>
            <w:bottom w:w="0" w:type="dxa"/>
            <w:right w:w="0" w:type="dxa"/>
          </w:tblCellMar>
        </w:tblPrEx>
        <w:trPr>
          <w:trHeight w:val="0" w:hRule="atLeast"/>
          <w:jc w:val="center"/>
        </w:trPr>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C2F751">
            <w:pPr>
              <w:snapToGrid w:val="0"/>
              <w:spacing w:line="240" w:lineRule="auto"/>
              <w:ind w:left="0" w:leftChars="0" w:right="0" w:rightChars="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3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D3F5A6">
            <w:pPr>
              <w:snapToGrid w:val="0"/>
              <w:spacing w:line="240" w:lineRule="auto"/>
              <w:ind w:left="0" w:leftChars="0" w:right="0" w:rightChars="0" w:firstLine="0" w:firstLineChars="0"/>
              <w:jc w:val="left"/>
              <w:rPr>
                <w:rFonts w:hint="eastAsia" w:ascii="仿宋" w:hAnsi="仿宋" w:eastAsia="仿宋" w:cs="仿宋"/>
                <w:color w:val="auto"/>
                <w:sz w:val="24"/>
                <w:szCs w:val="24"/>
                <w:lang w:val="en-US" w:eastAsia="zh-CN"/>
              </w:rPr>
            </w:pPr>
            <w:bookmarkStart w:id="0" w:name="_Hlk168565787"/>
            <w:bookmarkEnd w:id="0"/>
            <w:r>
              <w:rPr>
                <w:rFonts w:hint="eastAsia" w:ascii="仿宋" w:hAnsi="仿宋" w:eastAsia="仿宋" w:cs="仿宋"/>
                <w:snapToGrid/>
                <w:color w:val="auto"/>
                <w:kern w:val="2"/>
                <w:sz w:val="24"/>
                <w:szCs w:val="24"/>
                <w:lang w:val="en-US" w:eastAsia="zh-CN"/>
              </w:rPr>
              <w:t>数据分析与可视化</w:t>
            </w:r>
          </w:p>
        </w:tc>
        <w:tc>
          <w:tcPr>
            <w:tcW w:w="8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E84334">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9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FE3192">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c>
          <w:tcPr>
            <w:tcW w:w="138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237D2">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春季学期</w:t>
            </w:r>
          </w:p>
        </w:tc>
        <w:tc>
          <w:tcPr>
            <w:tcW w:w="13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CC950B">
            <w:pPr>
              <w:snapToGrid w:val="0"/>
              <w:spacing w:line="24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必修</w:t>
            </w:r>
          </w:p>
        </w:tc>
      </w:tr>
      <w:tr w14:paraId="306E9629">
        <w:tblPrEx>
          <w:tblCellMar>
            <w:top w:w="0" w:type="dxa"/>
            <w:left w:w="0" w:type="dxa"/>
            <w:bottom w:w="0" w:type="dxa"/>
            <w:right w:w="0" w:type="dxa"/>
          </w:tblCellMar>
        </w:tblPrEx>
        <w:trPr>
          <w:trHeight w:val="0" w:hRule="atLeast"/>
          <w:jc w:val="center"/>
        </w:trPr>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749D6F">
            <w:pPr>
              <w:snapToGrid w:val="0"/>
              <w:spacing w:line="240" w:lineRule="auto"/>
              <w:ind w:left="0" w:leftChars="0" w:right="0" w:rightChars="0" w:firstLine="0" w:firstLineChars="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w:t>
            </w:r>
          </w:p>
        </w:tc>
        <w:tc>
          <w:tcPr>
            <w:tcW w:w="3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DCA893">
            <w:pPr>
              <w:widowControl w:val="0"/>
              <w:kinsoku/>
              <w:autoSpaceDE/>
              <w:autoSpaceDN/>
              <w:adjustRightInd/>
              <w:snapToGrid w:val="0"/>
              <w:spacing w:line="240" w:lineRule="auto"/>
              <w:ind w:left="0" w:leftChars="0" w:right="0" w:rightChars="0" w:firstLine="0" w:firstLineChars="0"/>
              <w:jc w:val="left"/>
              <w:textAlignment w:val="auto"/>
              <w:rPr>
                <w:rFonts w:hint="eastAsia" w:ascii="仿宋" w:hAnsi="仿宋" w:eastAsia="仿宋" w:cs="仿宋"/>
                <w:color w:val="auto"/>
                <w:sz w:val="24"/>
                <w:szCs w:val="24"/>
                <w:lang w:val="en-US" w:eastAsia="zh-CN"/>
              </w:rPr>
            </w:pPr>
            <w:bookmarkStart w:id="1" w:name="_Hlk168565965"/>
            <w:bookmarkEnd w:id="1"/>
            <w:r>
              <w:rPr>
                <w:rFonts w:hint="eastAsia" w:ascii="仿宋" w:hAnsi="仿宋" w:eastAsia="仿宋" w:cs="仿宋"/>
                <w:snapToGrid/>
                <w:color w:val="auto"/>
                <w:kern w:val="2"/>
                <w:sz w:val="24"/>
                <w:szCs w:val="24"/>
                <w:lang w:val="en-US" w:eastAsia="zh-CN"/>
              </w:rPr>
              <w:t>嵌入式系统应用开发</w:t>
            </w:r>
          </w:p>
        </w:tc>
        <w:tc>
          <w:tcPr>
            <w:tcW w:w="8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91E054">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9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72E3F78">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w:t>
            </w:r>
          </w:p>
        </w:tc>
        <w:tc>
          <w:tcPr>
            <w:tcW w:w="138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503608">
            <w:pPr>
              <w:jc w:val="center"/>
              <w:rPr>
                <w:rFonts w:hint="eastAsia" w:ascii="仿宋" w:hAnsi="仿宋" w:eastAsia="仿宋" w:cs="仿宋"/>
                <w:snapToGrid w:val="0"/>
                <w:color w:val="000000"/>
                <w:kern w:val="2"/>
                <w:sz w:val="24"/>
                <w:szCs w:val="24"/>
                <w:lang w:val="en-US" w:eastAsia="zh-CN" w:bidi="ar-SA"/>
              </w:rPr>
            </w:pPr>
            <w:r>
              <w:rPr>
                <w:rFonts w:hint="eastAsia" w:ascii="仿宋" w:hAnsi="仿宋" w:eastAsia="仿宋" w:cs="仿宋"/>
                <w:kern w:val="2"/>
                <w:sz w:val="24"/>
                <w:szCs w:val="24"/>
                <w:lang w:val="en-US" w:eastAsia="zh-CN" w:bidi="ar-SA"/>
              </w:rPr>
              <w:t>春季学期</w:t>
            </w:r>
          </w:p>
        </w:tc>
        <w:tc>
          <w:tcPr>
            <w:tcW w:w="13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978B92">
            <w:pPr>
              <w:snapToGrid w:val="0"/>
              <w:spacing w:line="240" w:lineRule="auto"/>
              <w:ind w:left="0" w:leftChars="0" w:right="0" w:rightChars="0" w:firstLine="0" w:firstLineChars="0"/>
              <w:jc w:val="center"/>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必修</w:t>
            </w:r>
          </w:p>
        </w:tc>
      </w:tr>
      <w:tr w14:paraId="0D24D19B">
        <w:tblPrEx>
          <w:tblCellMar>
            <w:top w:w="0" w:type="dxa"/>
            <w:left w:w="0" w:type="dxa"/>
            <w:bottom w:w="0" w:type="dxa"/>
            <w:right w:w="0" w:type="dxa"/>
          </w:tblCellMar>
        </w:tblPrEx>
        <w:trPr>
          <w:trHeight w:val="0" w:hRule="atLeast"/>
          <w:jc w:val="center"/>
        </w:trPr>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82445F">
            <w:pPr>
              <w:snapToGrid w:val="0"/>
              <w:spacing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p>
        </w:tc>
        <w:tc>
          <w:tcPr>
            <w:tcW w:w="3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F67768">
            <w:pPr>
              <w:widowControl w:val="0"/>
              <w:kinsoku/>
              <w:autoSpaceDE/>
              <w:autoSpaceDN/>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b w:val="0"/>
                <w:bCs w:val="0"/>
                <w:snapToGrid/>
                <w:color w:val="auto"/>
                <w:kern w:val="2"/>
                <w:sz w:val="24"/>
                <w:szCs w:val="24"/>
                <w:lang w:val="en-US" w:eastAsia="zh-CN"/>
              </w:rPr>
              <w:t>PLC、变频器与触摸屏综合应用</w:t>
            </w:r>
          </w:p>
        </w:tc>
        <w:tc>
          <w:tcPr>
            <w:tcW w:w="8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40C80B">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9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C6178F">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c>
          <w:tcPr>
            <w:tcW w:w="138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813E576">
            <w:pPr>
              <w:jc w:val="center"/>
              <w:rPr>
                <w:rFonts w:hint="eastAsia" w:ascii="仿宋" w:hAnsi="仿宋" w:eastAsia="仿宋" w:cs="仿宋"/>
                <w:snapToGrid w:val="0"/>
                <w:color w:val="000000"/>
                <w:kern w:val="2"/>
                <w:sz w:val="24"/>
                <w:szCs w:val="24"/>
                <w:lang w:val="en-US" w:eastAsia="zh-CN" w:bidi="ar-SA"/>
              </w:rPr>
            </w:pPr>
            <w:r>
              <w:rPr>
                <w:rFonts w:hint="eastAsia" w:ascii="仿宋" w:hAnsi="仿宋" w:eastAsia="仿宋" w:cs="仿宋"/>
                <w:kern w:val="2"/>
                <w:sz w:val="24"/>
                <w:szCs w:val="24"/>
                <w:lang w:val="en-US" w:eastAsia="zh-CN" w:bidi="ar-SA"/>
              </w:rPr>
              <w:t>秋季学期</w:t>
            </w:r>
          </w:p>
        </w:tc>
        <w:tc>
          <w:tcPr>
            <w:tcW w:w="13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852AE4">
            <w:pPr>
              <w:snapToGrid w:val="0"/>
              <w:spacing w:line="240" w:lineRule="auto"/>
              <w:ind w:left="0" w:leftChars="0" w:right="0" w:rightChars="0" w:firstLine="0" w:firstLineChars="0"/>
              <w:jc w:val="center"/>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必修</w:t>
            </w:r>
          </w:p>
        </w:tc>
      </w:tr>
      <w:tr w14:paraId="32C1749D">
        <w:tblPrEx>
          <w:tblCellMar>
            <w:top w:w="0" w:type="dxa"/>
            <w:left w:w="0" w:type="dxa"/>
            <w:bottom w:w="0" w:type="dxa"/>
            <w:right w:w="0" w:type="dxa"/>
          </w:tblCellMar>
        </w:tblPrEx>
        <w:trPr>
          <w:trHeight w:val="0" w:hRule="atLeast"/>
          <w:jc w:val="center"/>
        </w:trPr>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CEF1A87">
            <w:pPr>
              <w:snapToGrid w:val="0"/>
              <w:spacing w:line="240" w:lineRule="auto"/>
              <w:ind w:left="0" w:leftChars="0" w:right="0" w:rightChars="0" w:firstLine="0" w:firstLineChars="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4</w:t>
            </w:r>
          </w:p>
        </w:tc>
        <w:tc>
          <w:tcPr>
            <w:tcW w:w="3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68A3DE">
            <w:pPr>
              <w:snapToGrid w:val="0"/>
              <w:spacing w:line="240" w:lineRule="auto"/>
              <w:ind w:left="0" w:leftChars="0" w:right="0" w:rightChars="0" w:firstLine="0" w:firstLineChars="0"/>
              <w:jc w:val="left"/>
              <w:rPr>
                <w:rFonts w:hint="eastAsia" w:ascii="仿宋" w:hAnsi="仿宋" w:eastAsia="仿宋" w:cs="仿宋"/>
                <w:color w:val="auto"/>
                <w:sz w:val="24"/>
                <w:szCs w:val="24"/>
                <w:lang w:val="en-US" w:eastAsia="zh-CN"/>
              </w:rPr>
            </w:pPr>
            <w:bookmarkStart w:id="2" w:name="_Hlk168566011"/>
            <w:bookmarkEnd w:id="2"/>
            <w:r>
              <w:rPr>
                <w:rFonts w:hint="eastAsia" w:ascii="仿宋" w:hAnsi="仿宋" w:eastAsia="仿宋" w:cs="仿宋"/>
                <w:spacing w:val="-2"/>
                <w:sz w:val="24"/>
                <w:szCs w:val="24"/>
              </w:rPr>
              <w:t>物联网系</w:t>
            </w:r>
            <w:r>
              <w:rPr>
                <w:rFonts w:hint="eastAsia" w:ascii="仿宋" w:hAnsi="仿宋" w:eastAsia="仿宋" w:cs="仿宋"/>
                <w:spacing w:val="-3"/>
                <w:sz w:val="24"/>
                <w:szCs w:val="24"/>
              </w:rPr>
              <w:t>统设计与</w:t>
            </w:r>
            <w:r>
              <w:rPr>
                <w:rFonts w:hint="eastAsia" w:ascii="仿宋" w:hAnsi="仿宋" w:eastAsia="仿宋" w:cs="仿宋"/>
                <w:spacing w:val="-2"/>
                <w:sz w:val="24"/>
                <w:szCs w:val="24"/>
              </w:rPr>
              <w:t>应用</w:t>
            </w:r>
          </w:p>
        </w:tc>
        <w:tc>
          <w:tcPr>
            <w:tcW w:w="8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DEB6BA">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9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985965">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w:t>
            </w:r>
          </w:p>
        </w:tc>
        <w:tc>
          <w:tcPr>
            <w:tcW w:w="138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AE819AB">
            <w:pPr>
              <w:jc w:val="center"/>
              <w:rPr>
                <w:rFonts w:hint="eastAsia" w:ascii="仿宋" w:hAnsi="仿宋" w:eastAsia="仿宋" w:cs="仿宋"/>
                <w:snapToGrid w:val="0"/>
                <w:color w:val="000000"/>
                <w:kern w:val="2"/>
                <w:sz w:val="24"/>
                <w:szCs w:val="24"/>
                <w:lang w:val="en-US" w:eastAsia="zh-CN" w:bidi="ar-SA"/>
              </w:rPr>
            </w:pPr>
            <w:r>
              <w:rPr>
                <w:rFonts w:hint="eastAsia" w:ascii="仿宋" w:hAnsi="仿宋" w:eastAsia="仿宋" w:cs="仿宋"/>
                <w:kern w:val="2"/>
                <w:sz w:val="24"/>
                <w:szCs w:val="24"/>
                <w:lang w:val="en-US" w:eastAsia="zh-CN" w:bidi="ar-SA"/>
              </w:rPr>
              <w:t>秋季学期</w:t>
            </w:r>
          </w:p>
        </w:tc>
        <w:tc>
          <w:tcPr>
            <w:tcW w:w="13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3CBA32">
            <w:pPr>
              <w:snapToGrid w:val="0"/>
              <w:spacing w:line="240" w:lineRule="auto"/>
              <w:ind w:left="0" w:leftChars="0" w:right="0" w:rightChars="0" w:firstLine="0" w:firstLineChars="0"/>
              <w:jc w:val="center"/>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必修</w:t>
            </w:r>
          </w:p>
        </w:tc>
      </w:tr>
      <w:tr w14:paraId="47A11A2D">
        <w:tblPrEx>
          <w:tblCellMar>
            <w:top w:w="0" w:type="dxa"/>
            <w:left w:w="0" w:type="dxa"/>
            <w:bottom w:w="0" w:type="dxa"/>
            <w:right w:w="0" w:type="dxa"/>
          </w:tblCellMar>
        </w:tblPrEx>
        <w:trPr>
          <w:trHeight w:val="0" w:hRule="atLeast"/>
          <w:jc w:val="center"/>
        </w:trPr>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2F3FFD">
            <w:pPr>
              <w:snapToGrid w:val="0"/>
              <w:spacing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w:t>
            </w:r>
          </w:p>
        </w:tc>
        <w:tc>
          <w:tcPr>
            <w:tcW w:w="3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461055">
            <w:pPr>
              <w:snapToGrid w:val="0"/>
              <w:spacing w:line="240" w:lineRule="auto"/>
              <w:ind w:left="0" w:leftChars="0" w:right="0" w:rightChars="0" w:firstLine="0" w:firstLineChars="0"/>
              <w:jc w:val="left"/>
              <w:rPr>
                <w:rFonts w:hint="eastAsia" w:ascii="仿宋" w:hAnsi="仿宋" w:eastAsia="仿宋" w:cs="仿宋"/>
                <w:spacing w:val="-2"/>
                <w:sz w:val="24"/>
                <w:szCs w:val="24"/>
              </w:rPr>
            </w:pPr>
            <w:r>
              <w:rPr>
                <w:rFonts w:hint="eastAsia" w:ascii="仿宋" w:hAnsi="仿宋" w:eastAsia="仿宋" w:cs="仿宋"/>
                <w:spacing w:val="-2"/>
                <w:sz w:val="24"/>
                <w:szCs w:val="24"/>
              </w:rPr>
              <w:t>远程测控系统设计</w:t>
            </w:r>
            <w:r>
              <w:rPr>
                <w:rFonts w:hint="eastAsia" w:ascii="仿宋" w:hAnsi="仿宋" w:eastAsia="仿宋" w:cs="仿宋"/>
                <w:spacing w:val="-4"/>
                <w:sz w:val="24"/>
                <w:szCs w:val="24"/>
              </w:rPr>
              <w:t>实践</w:t>
            </w:r>
          </w:p>
        </w:tc>
        <w:tc>
          <w:tcPr>
            <w:tcW w:w="8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3F402A">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9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A7BB46">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138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B768060">
            <w:pPr>
              <w:jc w:val="center"/>
              <w:rPr>
                <w:rFonts w:hint="eastAsia" w:ascii="仿宋" w:hAnsi="仿宋" w:eastAsia="仿宋" w:cs="仿宋"/>
                <w:snapToGrid w:val="0"/>
                <w:color w:val="000000"/>
                <w:kern w:val="2"/>
                <w:sz w:val="24"/>
                <w:szCs w:val="24"/>
                <w:lang w:val="en-US" w:eastAsia="zh-CN" w:bidi="ar-SA"/>
              </w:rPr>
            </w:pPr>
            <w:r>
              <w:rPr>
                <w:rFonts w:hint="eastAsia" w:ascii="仿宋" w:hAnsi="仿宋" w:eastAsia="仿宋" w:cs="仿宋"/>
                <w:kern w:val="2"/>
                <w:sz w:val="24"/>
                <w:szCs w:val="24"/>
                <w:lang w:val="en-US" w:eastAsia="zh-CN" w:bidi="ar-SA"/>
              </w:rPr>
              <w:t>秋季学期</w:t>
            </w:r>
          </w:p>
        </w:tc>
        <w:tc>
          <w:tcPr>
            <w:tcW w:w="13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1B4104">
            <w:pPr>
              <w:snapToGrid w:val="0"/>
              <w:spacing w:line="240" w:lineRule="auto"/>
              <w:ind w:left="0" w:leftChars="0" w:right="0" w:rightChars="0" w:firstLine="0" w:firstLineChars="0"/>
              <w:jc w:val="center"/>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必修</w:t>
            </w:r>
          </w:p>
        </w:tc>
      </w:tr>
      <w:tr w14:paraId="642C236B">
        <w:tblPrEx>
          <w:tblCellMar>
            <w:top w:w="0" w:type="dxa"/>
            <w:left w:w="0" w:type="dxa"/>
            <w:bottom w:w="0" w:type="dxa"/>
            <w:right w:w="0" w:type="dxa"/>
          </w:tblCellMar>
        </w:tblPrEx>
        <w:trPr>
          <w:trHeight w:val="0" w:hRule="atLeast"/>
          <w:jc w:val="center"/>
        </w:trPr>
        <w:tc>
          <w:tcPr>
            <w:tcW w:w="4279"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45F7AC">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8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DAC8CE">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9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1CBE88">
            <w:pPr>
              <w:snapToGrid w:val="0"/>
              <w:spacing w:line="240" w:lineRule="auto"/>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160</w:t>
            </w:r>
          </w:p>
        </w:tc>
        <w:tc>
          <w:tcPr>
            <w:tcW w:w="138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56890E7">
            <w:pPr>
              <w:jc w:val="center"/>
              <w:rPr>
                <w:rFonts w:hint="eastAsia" w:ascii="仿宋" w:hAnsi="仿宋" w:eastAsia="仿宋" w:cs="仿宋"/>
                <w:kern w:val="2"/>
                <w:sz w:val="24"/>
                <w:szCs w:val="24"/>
                <w:lang w:val="en-US" w:eastAsia="zh-CN" w:bidi="ar-SA"/>
              </w:rPr>
            </w:pPr>
          </w:p>
        </w:tc>
        <w:tc>
          <w:tcPr>
            <w:tcW w:w="13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B258D8">
            <w:pPr>
              <w:snapToGrid w:val="0"/>
              <w:spacing w:line="24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p>
        </w:tc>
      </w:tr>
    </w:tbl>
    <w:p w14:paraId="28578C6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napToGrid/>
          <w:kern w:val="2"/>
          <w:sz w:val="32"/>
          <w:szCs w:val="32"/>
          <w:lang w:val="en-US" w:eastAsia="zh-CN"/>
        </w:rPr>
      </w:pPr>
      <w:r>
        <w:rPr>
          <w:rFonts w:hint="eastAsia" w:ascii="楷体" w:hAnsi="楷体" w:eastAsia="楷体" w:cs="楷体"/>
          <w:b w:val="0"/>
          <w:bCs w:val="0"/>
          <w:snapToGrid/>
          <w:kern w:val="2"/>
          <w:sz w:val="32"/>
          <w:szCs w:val="32"/>
          <w:lang w:val="en-US" w:eastAsia="zh-CN"/>
        </w:rPr>
        <w:t>（二）课程简介</w:t>
      </w:r>
    </w:p>
    <w:p w14:paraId="193762F3">
      <w:pPr>
        <w:pStyle w:val="2"/>
        <w:keepNext w:val="0"/>
        <w:keepLines w:val="0"/>
        <w:pageBreakBefore w:val="0"/>
        <w:widowControl/>
        <w:kinsoku w:val="0"/>
        <w:wordWrap/>
        <w:overflowPunct/>
        <w:topLinePunct w:val="0"/>
        <w:autoSpaceDE w:val="0"/>
        <w:autoSpaceDN w:val="0"/>
        <w:bidi w:val="0"/>
        <w:adjustRightInd w:val="0"/>
        <w:snapToGrid w:val="0"/>
        <w:spacing w:line="576" w:lineRule="exact"/>
        <w:ind w:right="11" w:firstLine="640" w:firstLineChars="200"/>
        <w:jc w:val="both"/>
        <w:textAlignment w:val="baseline"/>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1.数据分析与可视化：基于Python编程语言，讲解数据采集、清洗、分析、建模与可视化核心技术，融入人工智能算法在数据处理中的应用，培养学生数据驱动决策能力，为测控系统设计分析奠定基础。</w:t>
      </w:r>
    </w:p>
    <w:p w14:paraId="10D94DA8">
      <w:pPr>
        <w:pStyle w:val="2"/>
        <w:keepNext w:val="0"/>
        <w:keepLines w:val="0"/>
        <w:pageBreakBefore w:val="0"/>
        <w:widowControl/>
        <w:kinsoku w:val="0"/>
        <w:wordWrap/>
        <w:overflowPunct/>
        <w:topLinePunct w:val="0"/>
        <w:autoSpaceDE w:val="0"/>
        <w:autoSpaceDN w:val="0"/>
        <w:bidi w:val="0"/>
        <w:adjustRightInd w:val="0"/>
        <w:snapToGrid w:val="0"/>
        <w:spacing w:line="576" w:lineRule="exact"/>
        <w:ind w:right="11" w:firstLine="640" w:firstLineChars="200"/>
        <w:jc w:val="both"/>
        <w:textAlignment w:val="baseline"/>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2.嵌入式系统应用开发：以STM32、树莓派为核心平台，讲解嵌入式系统硬件接口、软件架构、环境搭建与调试流程，结合工业控制、智能设备实际案例，培养学生软硬件协同开发与智能控制系统设计能力。</w:t>
      </w:r>
    </w:p>
    <w:p w14:paraId="2180270F">
      <w:pPr>
        <w:pStyle w:val="2"/>
        <w:keepNext w:val="0"/>
        <w:keepLines w:val="0"/>
        <w:pageBreakBefore w:val="0"/>
        <w:widowControl/>
        <w:kinsoku w:val="0"/>
        <w:wordWrap/>
        <w:overflowPunct/>
        <w:topLinePunct w:val="0"/>
        <w:autoSpaceDE w:val="0"/>
        <w:autoSpaceDN w:val="0"/>
        <w:bidi w:val="0"/>
        <w:adjustRightInd w:val="0"/>
        <w:snapToGrid w:val="0"/>
        <w:spacing w:line="576" w:lineRule="exact"/>
        <w:ind w:right="22" w:firstLine="640" w:firstLineChars="200"/>
        <w:textAlignment w:val="baseline"/>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3.PLC、变频器与触摸屏综合应用：系统讲解西门子 PLC  基本原理、梯形图/功能块图编程与故障诊断，变频器调速控制与参数设置，触摸屏人机界面设计与数据交互，为工业自动化系统集成与运维奠定实操基础。</w:t>
      </w:r>
    </w:p>
    <w:p w14:paraId="4901A5DB">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4.物联网系统设计与应用：覆盖物联网感知层到应用层端到端设计，讲解感知节点、传输网络、边缘计算、云服务等关键技术，解析MQTT、</w:t>
      </w:r>
      <w:r>
        <w:rPr>
          <w:rFonts w:hint="eastAsia" w:ascii="仿宋" w:hAnsi="仿宋" w:eastAsia="仿宋" w:cs="仿宋"/>
          <w:snapToGrid/>
          <w:kern w:val="2"/>
          <w:sz w:val="32"/>
          <w:szCs w:val="32"/>
          <w:lang w:val="en-US" w:eastAsia="zh-CN" w:bidi="ar-SA"/>
        </w:rPr>
        <w:fldChar w:fldCharType="begin"/>
      </w:r>
      <w:r>
        <w:rPr>
          <w:rFonts w:hint="eastAsia" w:ascii="仿宋" w:hAnsi="仿宋" w:eastAsia="仿宋" w:cs="仿宋"/>
          <w:snapToGrid/>
          <w:kern w:val="2"/>
          <w:sz w:val="32"/>
          <w:szCs w:val="32"/>
          <w:lang w:val="en-US" w:eastAsia="zh-CN" w:bidi="ar-SA"/>
        </w:rPr>
        <w:instrText xml:space="preserve"> HYPERLINK "HTTPS" </w:instrText>
      </w:r>
      <w:r>
        <w:rPr>
          <w:rFonts w:hint="eastAsia" w:ascii="仿宋" w:hAnsi="仿宋" w:eastAsia="仿宋" w:cs="仿宋"/>
          <w:snapToGrid/>
          <w:kern w:val="2"/>
          <w:sz w:val="32"/>
          <w:szCs w:val="32"/>
          <w:lang w:val="en-US" w:eastAsia="zh-CN" w:bidi="ar-SA"/>
        </w:rPr>
        <w:fldChar w:fldCharType="separate"/>
      </w:r>
      <w:r>
        <w:rPr>
          <w:rFonts w:hint="eastAsia" w:ascii="仿宋" w:hAnsi="仿宋" w:eastAsia="仿宋" w:cs="仿宋"/>
          <w:snapToGrid/>
          <w:kern w:val="2"/>
          <w:sz w:val="32"/>
          <w:szCs w:val="32"/>
          <w:lang w:val="en-US" w:eastAsia="zh-CN" w:bidi="ar-SA"/>
        </w:rPr>
        <w:t>HTTPS</w:t>
      </w:r>
      <w:r>
        <w:rPr>
          <w:rFonts w:hint="eastAsia" w:ascii="仿宋" w:hAnsi="仿宋" w:eastAsia="仿宋" w:cs="仿宋"/>
          <w:snapToGrid/>
          <w:kern w:val="2"/>
          <w:sz w:val="32"/>
          <w:szCs w:val="32"/>
          <w:lang w:val="en-US" w:eastAsia="zh-CN" w:bidi="ar-SA"/>
        </w:rPr>
        <w:fldChar w:fldCharType="end"/>
      </w:r>
      <w:r>
        <w:rPr>
          <w:rFonts w:hint="eastAsia" w:ascii="仿宋" w:hAnsi="仿宋" w:eastAsia="仿宋" w:cs="仿宋"/>
          <w:snapToGrid/>
          <w:kern w:val="2"/>
          <w:sz w:val="32"/>
          <w:szCs w:val="32"/>
          <w:lang w:val="en-US" w:eastAsia="zh-CN" w:bidi="ar-SA"/>
        </w:rPr>
        <w:t>等通信协议，结合智慧农业、智慧城市等场景，培养学生物联网系统架构设计与项目落地能力。</w:t>
      </w:r>
    </w:p>
    <w:p w14:paraId="16DD0325">
      <w:pPr>
        <w:pStyle w:val="2"/>
        <w:keepNext w:val="0"/>
        <w:keepLines w:val="0"/>
        <w:pageBreakBefore w:val="0"/>
        <w:widowControl/>
        <w:kinsoku w:val="0"/>
        <w:wordWrap/>
        <w:overflowPunct/>
        <w:topLinePunct w:val="0"/>
        <w:autoSpaceDE w:val="0"/>
        <w:autoSpaceDN w:val="0"/>
        <w:bidi w:val="0"/>
        <w:adjustRightInd w:val="0"/>
        <w:snapToGrid w:val="0"/>
        <w:spacing w:line="576" w:lineRule="exact"/>
        <w:ind w:right="17" w:firstLine="640" w:firstLineChars="200"/>
        <w:textAlignment w:val="baseline"/>
        <w:rPr>
          <w:rFonts w:ascii="Arial"/>
          <w:sz w:val="21"/>
        </w:rPr>
      </w:pPr>
      <w:r>
        <w:rPr>
          <w:rFonts w:hint="eastAsia" w:ascii="仿宋" w:hAnsi="仿宋" w:eastAsia="仿宋" w:cs="仿宋"/>
          <w:snapToGrid/>
          <w:kern w:val="2"/>
          <w:sz w:val="32"/>
          <w:szCs w:val="32"/>
          <w:lang w:val="en-US" w:eastAsia="zh-CN" w:bidi="ar-SA"/>
        </w:rPr>
        <w:t>5.远程测控系统设计实践：依托数字孪生自动化系统平台，以实际工程项目为驱动，融合物联网、嵌入式、人工智能、数字孪生等多学科技术，让学生完成“感知-互联-控制-应用”一体化系统设计与开发，锤炼系统性工程思维与软硬融合能力。</w:t>
      </w:r>
    </w:p>
    <w:p w14:paraId="4A0E530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八、报名和咨询</w:t>
      </w:r>
    </w:p>
    <w:p w14:paraId="609FF7F1">
      <w:pPr>
        <w:pStyle w:val="2"/>
        <w:keepNext w:val="0"/>
        <w:keepLines w:val="0"/>
        <w:pageBreakBefore w:val="0"/>
        <w:wordWrap/>
        <w:overflowPunct/>
        <w:topLinePunct w:val="0"/>
        <w:bidi w:val="0"/>
        <w:spacing w:line="576" w:lineRule="exact"/>
        <w:ind w:right="76" w:firstLine="640" w:firstLineChars="200"/>
        <w:jc w:val="both"/>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有意报名的同学请加入本微专业招生微信群（见下方二维码），下载填写《江苏师范大学学生微专业申请表》，并于 2026年3月20日17:10</w:t>
      </w:r>
      <w:bookmarkStart w:id="3" w:name="_GoBack"/>
      <w:bookmarkEnd w:id="3"/>
      <w:r>
        <w:rPr>
          <w:rFonts w:hint="eastAsia" w:ascii="仿宋" w:hAnsi="仿宋" w:eastAsia="仿宋" w:cs="仿宋"/>
          <w:snapToGrid/>
          <w:kern w:val="2"/>
          <w:sz w:val="32"/>
          <w:szCs w:val="32"/>
          <w:lang w:val="en-US" w:eastAsia="zh-CN" w:bidi="ar-SA"/>
        </w:rPr>
        <w:t>前将申请表报送至电气工程及自动化学院615B办公室（地址：泉山校区12楼615B室）。</w:t>
      </w:r>
    </w:p>
    <w:p w14:paraId="58C29577">
      <w:pPr>
        <w:pStyle w:val="2"/>
        <w:spacing w:before="152" w:line="220" w:lineRule="auto"/>
        <w:ind w:left="462"/>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工作咨询、联系人：宁瑞雪老师。</w:t>
      </w:r>
    </w:p>
    <w:p w14:paraId="11D6D446">
      <w:pPr>
        <w:pStyle w:val="2"/>
        <w:spacing w:before="259" w:line="220" w:lineRule="auto"/>
        <w:ind w:left="45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微信群二维码：</w:t>
      </w:r>
    </w:p>
    <w:p w14:paraId="1D525EC9">
      <w:pPr>
        <w:spacing w:before="236" w:line="5516" w:lineRule="exact"/>
        <w:ind w:firstLine="2182"/>
      </w:pPr>
      <w:r>
        <w:rPr>
          <w:position w:val="-110"/>
        </w:rPr>
        <w:drawing>
          <wp:inline distT="0" distB="0" distL="0" distR="0">
            <wp:extent cx="2799715" cy="35020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2800222" cy="3502659"/>
                    </a:xfrm>
                    <a:prstGeom prst="rect">
                      <a:avLst/>
                    </a:prstGeom>
                  </pic:spPr>
                </pic:pic>
              </a:graphicData>
            </a:graphic>
          </wp:inline>
        </w:drawing>
      </w:r>
    </w:p>
    <w:sectPr>
      <w:pgSz w:w="11907" w:h="16839"/>
      <w:pgMar w:top="1429" w:right="1786" w:bottom="1429" w:left="1785"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B0746E2-9ABC-49E5-88B0-68835E66CEE2}"/>
  </w:font>
  <w:font w:name="黑体">
    <w:panose1 w:val="02010609060101010101"/>
    <w:charset w:val="86"/>
    <w:family w:val="auto"/>
    <w:pitch w:val="default"/>
    <w:sig w:usb0="800002BF" w:usb1="38CF7CFA" w:usb2="00000016" w:usb3="00000000" w:csb0="00040001" w:csb1="00000000"/>
    <w:embedRegular r:id="rId2" w:fontKey="{7004B79F-1431-4106-A177-A2DE84A0FA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AB02B3BE-5492-4AF0-B0C6-FDB9FBF14173}"/>
  </w:font>
  <w:font w:name="仿宋">
    <w:panose1 w:val="02010609060101010101"/>
    <w:charset w:val="86"/>
    <w:family w:val="auto"/>
    <w:pitch w:val="default"/>
    <w:sig w:usb0="800002BF" w:usb1="38CF7CFA" w:usb2="00000016" w:usb3="00000000" w:csb0="00040001" w:csb1="00000000"/>
    <w:embedRegular r:id="rId4" w:fontKey="{2D427BDC-9F15-4D20-9B0C-84218BE1643A}"/>
  </w:font>
  <w:font w:name="楷体">
    <w:panose1 w:val="02010609060101010101"/>
    <w:charset w:val="86"/>
    <w:family w:val="auto"/>
    <w:pitch w:val="default"/>
    <w:sig w:usb0="800002BF" w:usb1="38CF7CFA" w:usb2="00000016" w:usb3="00000000" w:csb0="00040001" w:csb1="00000000"/>
    <w:embedRegular r:id="rId5" w:fontKey="{12DF5207-3413-45FA-BAF5-AED9CD1774F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796EA0"/>
    <w:rsid w:val="02EF1E8A"/>
    <w:rsid w:val="04717864"/>
    <w:rsid w:val="06952D48"/>
    <w:rsid w:val="130A23C8"/>
    <w:rsid w:val="1C7C6DD5"/>
    <w:rsid w:val="24AD7057"/>
    <w:rsid w:val="26663961"/>
    <w:rsid w:val="277B168E"/>
    <w:rsid w:val="2C6426F1"/>
    <w:rsid w:val="2D053ED4"/>
    <w:rsid w:val="37921241"/>
    <w:rsid w:val="3B84519E"/>
    <w:rsid w:val="3DE47B36"/>
    <w:rsid w:val="3E171CB9"/>
    <w:rsid w:val="582232DD"/>
    <w:rsid w:val="5851771E"/>
    <w:rsid w:val="586C6306"/>
    <w:rsid w:val="5E93522C"/>
    <w:rsid w:val="5F8D1984"/>
    <w:rsid w:val="5FA8056B"/>
    <w:rsid w:val="6DED1155"/>
    <w:rsid w:val="6ED70525"/>
    <w:rsid w:val="714B51FB"/>
    <w:rsid w:val="7229782F"/>
    <w:rsid w:val="7F6000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3204</Words>
  <Characters>3298</Characters>
  <TotalTime>8</TotalTime>
  <ScaleCrop>false</ScaleCrop>
  <LinksUpToDate>false</LinksUpToDate>
  <CharactersWithSpaces>3305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2026-02-28T16:09:00Z</dcterms:created>
  <dc:creator>永乐 李</dc:creator>
  <cp:lastModifiedBy>灵灵</cp:lastModifiedBy>
  <dcterms:modified xsi:type="dcterms:W3CDTF">2026-03-14T09:46:50Z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2026-03-11T17:06:22Z</vt:filetime>
  </property>
  <property fmtid="{D5CDD505-2E9C-101B-9397-08002B2CF9AE}" pid="4" name="KSOTemplateDocerSaveRecord">
    <vt:lpwstr>eyJoZGlkIjoiNjViZjBlZjA5Nzk0Yzk2NDE1NzcyZjQ5ZmIwNjczYzkiLCJ1c2VySWQiOiI0OTA3MDkzODMifQ==</vt:lpwstr>
  </property>
  <property fmtid="{D5CDD505-2E9C-101B-9397-08002B2CF9AE}" pid="5" name="KSOProductBuildVer">
    <vt:lpwstr>2052-12.1.0.21541</vt:lpwstr>
  </property>
  <property fmtid="{D5CDD505-2E9C-101B-9397-08002B2CF9AE}" pid="6" name="ICV">
    <vt:lpwstr>5F10446CF4C84FEF8E0F823425521DC3_12</vt:lpwstr>
  </property>
</Properties>
</file>