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5FCA2">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江苏师范大学短视频制作与运营微专业</w:t>
      </w:r>
    </w:p>
    <w:p w14:paraId="049E3B96">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ascii="黑体" w:hAnsi="黑体" w:eastAsia="黑体"/>
          <w:b/>
          <w:bCs/>
          <w:sz w:val="32"/>
          <w:szCs w:val="32"/>
        </w:rPr>
      </w:pPr>
      <w:r>
        <w:rPr>
          <w:rFonts w:hint="eastAsia" w:ascii="方正小标宋简体" w:hAnsi="方正小标宋简体" w:eastAsia="方正小标宋简体" w:cs="方正小标宋简体"/>
          <w:b/>
          <w:bCs/>
          <w:sz w:val="44"/>
          <w:szCs w:val="44"/>
          <w:lang w:val="en-US" w:eastAsia="zh-CN"/>
        </w:rPr>
        <w:t>2026年</w:t>
      </w:r>
      <w:r>
        <w:rPr>
          <w:rFonts w:hint="eastAsia" w:ascii="方正小标宋简体" w:hAnsi="方正小标宋简体" w:eastAsia="方正小标宋简体" w:cs="方正小标宋简体"/>
          <w:b/>
          <w:bCs/>
          <w:sz w:val="44"/>
          <w:szCs w:val="44"/>
        </w:rPr>
        <w:t>招生简章</w:t>
      </w:r>
    </w:p>
    <w:p w14:paraId="4560A8A8">
      <w:pPr>
        <w:jc w:val="center"/>
        <w:rPr>
          <w:rFonts w:ascii="黑体" w:hAnsi="黑体" w:eastAsia="黑体"/>
          <w:b/>
          <w:bCs/>
          <w:sz w:val="32"/>
          <w:szCs w:val="32"/>
        </w:rPr>
      </w:pPr>
    </w:p>
    <w:p w14:paraId="2833139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一、微专业介绍</w:t>
      </w:r>
    </w:p>
    <w:p w14:paraId="4A836A8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sz w:val="32"/>
          <w:szCs w:val="32"/>
        </w:rPr>
      </w:pPr>
      <w:r>
        <w:rPr>
          <w:rFonts w:hint="eastAsia" w:ascii="仿宋" w:hAnsi="仿宋" w:eastAsia="仿宋" w:cs="仿宋"/>
          <w:color w:val="000000"/>
          <w:sz w:val="32"/>
          <w:szCs w:val="32"/>
          <w:shd w:val="clear" w:color="auto" w:fill="FFFFFF"/>
        </w:rPr>
        <w:t>在繁荣发展新大众文艺创作与数字经济蓬勃发展的浪潮下，短视频已从单纯的娱乐方式演变为品牌营销、内容传播与商业变现的重要大众媒介载体。为响应新媒体行业对复合型人才的迫切需求，本微专业立足于全媒体传播格局，打破了传统艺术专业仅重“制作技术”的局限，确立了“内容为体，运营为翼”的培养理念。课程体系紧扣行业前沿，将视听语言艺术与互联网商业逻辑深度融合，旨在培养既懂内容创意与审美，又精通平台算法与数据运营，能够熟练运用AIGC工具提效的实战型人才。通过2个学期、15学分、240学时的系统化高强度训练，本专业致力于让学生掌握从IP顶层设计、脚本策划、拍摄剪辑、后期包装，到账号运营、数据复盘及商业变现的全链路技能，实现从“视频制作者”向“内容操盘手”的身份转换。</w:t>
      </w:r>
    </w:p>
    <w:p w14:paraId="2E9AEC1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sz w:val="32"/>
          <w:szCs w:val="32"/>
        </w:rPr>
      </w:pPr>
      <w:r>
        <w:rPr>
          <w:rFonts w:hint="eastAsia" w:ascii="黑体" w:hAnsi="黑体" w:eastAsia="黑体" w:cs="黑体"/>
          <w:b w:val="0"/>
          <w:bCs w:val="0"/>
          <w:sz w:val="32"/>
          <w:szCs w:val="32"/>
        </w:rPr>
        <w:t>二、培养目标</w:t>
      </w:r>
    </w:p>
    <w:p w14:paraId="085F7AB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sz w:val="32"/>
          <w:szCs w:val="32"/>
        </w:rPr>
      </w:pPr>
      <w:r>
        <w:rPr>
          <w:rFonts w:hint="eastAsia" w:ascii="楷体" w:hAnsi="楷体" w:eastAsia="楷体" w:cs="楷体"/>
          <w:b w:val="0"/>
          <w:bCs w:val="0"/>
          <w:sz w:val="32"/>
          <w:szCs w:val="32"/>
        </w:rPr>
        <w:t>（一）培养方向</w:t>
      </w:r>
    </w:p>
    <w:p w14:paraId="51F42C0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ascii="宋体" w:hAnsi="宋体" w:eastAsia="宋体" w:cs="宋体"/>
          <w:sz w:val="32"/>
          <w:szCs w:val="32"/>
        </w:rPr>
      </w:pPr>
      <w:r>
        <w:rPr>
          <w:rFonts w:hint="eastAsia" w:ascii="仿宋" w:hAnsi="仿宋" w:eastAsia="仿宋" w:cs="仿宋"/>
          <w:color w:val="000000"/>
          <w:sz w:val="32"/>
          <w:szCs w:val="32"/>
          <w:shd w:val="clear" w:color="auto" w:fill="FFFFFF"/>
        </w:rPr>
        <w:t>面向全校各专业本科生（建议</w:t>
      </w:r>
      <w:r>
        <w:rPr>
          <w:rFonts w:hint="eastAsia" w:ascii="仿宋" w:hAnsi="仿宋" w:eastAsia="仿宋" w:cs="仿宋"/>
          <w:color w:val="000000"/>
          <w:sz w:val="32"/>
          <w:szCs w:val="32"/>
          <w:shd w:val="clear" w:color="auto" w:fill="FFFFFF"/>
          <w:lang w:eastAsia="zh-CN"/>
        </w:rPr>
        <w:t>大一、</w:t>
      </w:r>
      <w:r>
        <w:rPr>
          <w:rFonts w:hint="eastAsia" w:ascii="仿宋" w:hAnsi="仿宋" w:eastAsia="仿宋" w:cs="仿宋"/>
          <w:color w:val="000000"/>
          <w:sz w:val="32"/>
          <w:szCs w:val="32"/>
          <w:shd w:val="clear" w:color="auto" w:fill="FFFFFF"/>
        </w:rPr>
        <w:t>大二、大三学生修读）</w:t>
      </w:r>
      <w:r>
        <w:rPr>
          <w:rFonts w:hint="eastAsia" w:ascii="仿宋" w:hAnsi="仿宋" w:eastAsia="仿宋" w:cs="仿宋"/>
          <w:color w:val="000000"/>
          <w:sz w:val="32"/>
          <w:szCs w:val="32"/>
          <w:shd w:val="clear" w:color="auto" w:fill="FFFFFF"/>
          <w:lang w:eastAsia="zh-CN"/>
        </w:rPr>
        <w:t>及有条件的研究生</w:t>
      </w:r>
      <w:r>
        <w:rPr>
          <w:rFonts w:hint="eastAsia" w:ascii="仿宋" w:hAnsi="仿宋" w:eastAsia="仿宋" w:cs="仿宋"/>
          <w:color w:val="000000"/>
          <w:sz w:val="32"/>
          <w:szCs w:val="32"/>
          <w:shd w:val="clear" w:color="auto" w:fill="FFFFFF"/>
        </w:rPr>
        <w:t>开放。特别适合对新媒体运营、影视制作、品牌营销感兴趣，或希望通过短视频技能赋能本专业（如“农产品电商”“旅游推广”“科普教育”）的学生。</w:t>
      </w:r>
    </w:p>
    <w:p w14:paraId="1F48F49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培养模式</w:t>
      </w:r>
    </w:p>
    <w:p w14:paraId="4CDAF5C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依托学科优势及产教融合资源，确立“内容为体、运营为翼、技术为用、商业为核”的四位一体定位，以实战为导向的核心理念，以系统化训练，开设短视频账号策划与IP孵化、脚本创作与文案设计、视听语言与拍摄剪辑、后期包装与音频设计、AIGC内容生产与应用、运营策略与数据分析、全案项目实战与商业化变现7门模块化课程。</w:t>
      </w:r>
    </w:p>
    <w:p w14:paraId="0712C4D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1.特色课程设计</w:t>
      </w:r>
    </w:p>
    <w:p w14:paraId="7616D3E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模块化课程结构：包含《短视频账号策划与IP孵化》与《短视频脚本创作与文案设计》。从商业变现逻辑出发，讲授爆款选题挖掘、黄金前3秒文案设计及分镜头脚本撰写，夯实内容内核。《短视频视听语言与拍摄剪辑》及《短视频后期包装与音频设计》。系统讲授构图运镜、Pr剪辑技巧、动态字幕特效及音效设计，全面提升作品质量。</w:t>
      </w:r>
    </w:p>
    <w:p w14:paraId="64CD518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前沿技术课程：包含《AIGC内容生产与应用》与《短视频运营策略与数据分析》。紧跟前沿，引入AI工具流提升生产效率；深入解析平台算法，教授投流策略与粉丝社群的精细化运营。《全案项目实战与商业化变现》是采用工作室模式，以真实商业项目驱动，打通从策划到上线的全流程，产出可推向市场的毕业作品集。</w:t>
      </w:r>
    </w:p>
    <w:p w14:paraId="33BCF8C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2.实践与创新</w:t>
      </w:r>
    </w:p>
    <w:p w14:paraId="73A0397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项目驱动：由本专业专任教师指导学生参与各级各类学科竞赛、科研项目，学科和技能竞赛获奖8项，其中国家级7项，省部级1项；艺术创作获奖26项，其中国家级6项，省部级6项，地市级5项，校级9项；创新创业项目续期7项，其中省级1项，校级6项；其它科研项目3项，其中省级1项，校级2项。</w:t>
      </w:r>
    </w:p>
    <w:p w14:paraId="64C86D6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企业项目实训：学院拥有稳定、充足的校内外实习、实训基地13个。如：徐州报业传媒集团（徐州日报社）新媒体中心、中国中影数字制作基地等，这些长期稳定的校外实习实践基地，实习基地设施齐全、设备先进、利用率高，能够满足实践教学要求。利用这些教学条件，学院打造出立体实验实践教学模式。这些基地每年都可以接纳大批相关专业实习生参加生产实习，平均参与此类实践实习30周以上。</w:t>
      </w:r>
    </w:p>
    <w:p w14:paraId="781A020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创新创业支持：近五年，依托现有教学体系，学生在各类高水平竞赛中表现优异。累计获得学科和技能竞赛奖项8项（其中国家级7项）、艺术创作奖项26项（其中国家级6项），并成功立项多项创新创业项目。这些国家级奖项数据的背后，印证了学生在视频创作方面的扎实功底，为微专业向更高阶的商业化运营转型奠定了人才素质基础。</w:t>
      </w:r>
    </w:p>
    <w:p w14:paraId="18CC98D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3.综合素质培养</w:t>
      </w:r>
    </w:p>
    <w:p w14:paraId="7C0F4E7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坚持以价值塑造、能力培养与品格涵养融合为导向，着力构建“懂审美、善协作、敢创新、有担当”的新媒体人才。引导学生在短视频创作与运营全流程中强化社会责任意识与主流价值引领。依托工作室项目制教学与跨专业团队协作，培养学生系统思维，实现从“个人作业”到“团队项目”的协作跃升；同时，课程体系有机融入新大众文艺素养，使学生不仅掌握“如何做”的技术逻辑，更具备“为何做”的价值判断力。</w:t>
      </w:r>
    </w:p>
    <w:p w14:paraId="7242CC9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（三）培养要求</w:t>
      </w:r>
    </w:p>
    <w:p w14:paraId="07B01CF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1.理论基础</w:t>
      </w:r>
    </w:p>
    <w:p w14:paraId="0A5414A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将短视频创作与运营全流程解构为“构思—设计—实现—运作”四个环节，对应从账号策划、脚本创作、拍摄剪辑到投流复盘、商业变现的完整链路，使学生在项目迭代中主动完成知识内化与能力迁移。</w:t>
      </w:r>
    </w:p>
    <w:p w14:paraId="56A9649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2.实践能力</w:t>
      </w:r>
    </w:p>
    <w:p w14:paraId="3B84125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学院高度重视产教融合，与徐州报业传媒集团新媒体中心、徐州市新媒体协会等单位建立了长期合作。这种实践模式，确保学生能深度参与企业真实项目，实现从“课堂作业”到“商业作品”的无缝转化，为实战化人才培养提供了最坚实的产业托底。在微专业建设中，将进一步聘请徐州市新媒体协会及合作企业的专家担任兼职导师，将企业真实案例直接引入课堂，进一步强化“双师型”教学团队建设。</w:t>
      </w:r>
    </w:p>
    <w:p w14:paraId="54BFD97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3.市场与政策</w:t>
      </w:r>
    </w:p>
    <w:p w14:paraId="5F065F8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随着抖音、快手等平台的崛起，企业对短视频营销的投入逐年递增。据相关数据显示，2024年短视频相关岗位招聘量较上一年增长23%，且市场需求已从单一的“制作”向“制作+运营”的复合能力转变。无论是品牌推广、直播带货还是内容变现，企业不仅需要能拍会剪的技术人才，更急需懂算法、会投流、能进行数据分析的运营人才。本专业通过“制作”与“运营”双轮驱动，精准对接这一巨大的市场缺口。</w:t>
      </w:r>
    </w:p>
    <w:p w14:paraId="128AB75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当前本科生就业面临结构性挑战，具备一技之长成为破局关键。本微专业打破传统学科壁垒，通过系统化的实战训练，使学生掌握从创意策划、脚本撰写、拍摄剪辑到全案运营、商业变现的全流程技能。毕业生不仅可胜任短视频编剧等技术岗位，更能涉足内容营销等高薪紧缺岗位。据统计，短视频行业平均月薪可达6900元，资深运营与创意人才薪资更具竞争力，晋升空间广阔。</w:t>
      </w:r>
    </w:p>
    <w:p w14:paraId="6EA7AE5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4.社会责任与职业道德</w:t>
      </w:r>
    </w:p>
    <w:p w14:paraId="31D8FD0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ascii="宋体" w:hAnsi="宋体" w:eastAsia="宋体" w:cs="宋体"/>
          <w:sz w:val="32"/>
          <w:szCs w:val="32"/>
        </w:rPr>
      </w:pPr>
      <w:r>
        <w:rPr>
          <w:rFonts w:hint="eastAsia" w:ascii="仿宋" w:hAnsi="仿宋" w:eastAsia="仿宋" w:cs="仿宋"/>
          <w:color w:val="000000"/>
          <w:sz w:val="32"/>
          <w:szCs w:val="32"/>
          <w:shd w:val="clear" w:color="auto" w:fill="FFFFFF"/>
        </w:rPr>
        <w:t>将确立“流量向善、内容向上、技术向责”的价值底线。课程体系将算法伦理、数据隐私、内容合规、版权保护等议题深度嵌入《短视频运营策略与数据分析》《全案项目实战与商业化变现》等核心模块。引导学生在投流复盘、商业变现等环节，形成对数据滥用、流量造假的警惕与抵制能力。同时，通过对接政务新媒体、乡村振兴、公益传播等实战项目，引导学生将专业技能投向更广泛的社会价值创造，理解短视频作为数字公共议题参与工具的文化潜能。</w:t>
      </w:r>
    </w:p>
    <w:p w14:paraId="6C6ED352">
      <w:pPr>
        <w:spacing w:after="0" w:line="279"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三、专业特色</w:t>
      </w:r>
    </w:p>
    <w:p w14:paraId="72ADE75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前沿课程设置</w:t>
      </w:r>
    </w:p>
    <w:p w14:paraId="149042C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本微专业建设紧扣数字经济发展趋势，以“内容为王、技术赋能、运营驱动”为核心理念，旨在培养具备全流程实战能力的复合型短视频人才。紧跟行业技术变革，在课程体系中嵌入前沿科技。</w:t>
      </w:r>
    </w:p>
    <w:p w14:paraId="7D5EAE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实践导向</w:t>
      </w:r>
    </w:p>
    <w:p w14:paraId="344EAA0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教学过程完全模拟MCN机构运作流程。前段课程夯实基础，后段通过《全案项目实战与商业化变现》引入真实商业项目，采用“工作室模式”让学生组队通过真实账号运营、电商带货、广告植入等方式进行真题真做。</w:t>
      </w:r>
    </w:p>
    <w:p w14:paraId="48DEC3E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跨学科融合</w:t>
      </w:r>
    </w:p>
    <w:p w14:paraId="250E9FE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微专业的跨学科融合打破传统学科壁垒，构建起新闻传播学、戏剧与影视学、管理学等学科门类深度交叉的教学体系。在师资层面，由教授、博士及行业专家构成的跨学科团队，形成“艺术+技术+传播”的协同育人合力，使学生具备在复杂环境中整合多元知识解决实际问题的核心竞争力。</w:t>
      </w:r>
    </w:p>
    <w:p w14:paraId="3D194E1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（四）</w:t>
      </w:r>
      <w:r>
        <w:rPr>
          <w:rFonts w:hint="eastAsia" w:ascii="楷体" w:hAnsi="楷体" w:eastAsia="楷体" w:cs="楷体"/>
          <w:b w:val="0"/>
          <w:bCs w:val="0"/>
          <w:sz w:val="32"/>
          <w:szCs w:val="32"/>
        </w:rPr>
        <w:t>社会责任与可持续发展</w:t>
      </w:r>
    </w:p>
    <w:p w14:paraId="0ED594C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该微专业打破流量至上、短期收割的单一逻辑，着力培养学生树立长期主义运营理念。依托生涯指导与校友反哺，引导学生将个人发展融入行业良性生态，拒绝竭泽而渔的内容投机，争做推动内容品质与行业标准升级的长跑型人才。</w:t>
      </w:r>
    </w:p>
    <w:p w14:paraId="32B9A0FD">
      <w:pPr>
        <w:spacing w:after="0" w:line="279"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四、资源保障</w:t>
      </w:r>
    </w:p>
    <w:p w14:paraId="52B6724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课程资源</w:t>
      </w:r>
    </w:p>
    <w:p w14:paraId="3C4A812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ascii="宋体" w:hAnsi="宋体" w:eastAsia="宋体" w:cs="宋体"/>
          <w:sz w:val="32"/>
          <w:szCs w:val="32"/>
        </w:rPr>
      </w:pPr>
      <w:r>
        <w:rPr>
          <w:rFonts w:hint="eastAsia" w:ascii="仿宋" w:hAnsi="仿宋" w:eastAsia="仿宋" w:cs="仿宋"/>
          <w:color w:val="000000"/>
          <w:sz w:val="32"/>
          <w:szCs w:val="32"/>
          <w:shd w:val="clear" w:color="auto" w:fill="FFFFFF"/>
        </w:rPr>
        <w:t>通过《短视频账号策划与IP孵化》确立人设与赛道；利用《短视频脚本创作与文案设计》打磨爆款逻辑；结合《短视频视听语言与拍摄剪辑》掌握竖屏拍摄与剪映/Pr技术。此阶段实行“单兵作战”考核，确保每位学生具备独立产出合格短视频的能力。进阶至《短视频后期包装与音频设计》提升作品质感；引入《AIGC内容生产与应用》优化工作流；通过《短视频运营策略与数据分析》掌握投流与复盘。最终以《全案项目实战与商业化变现》为出口，实行“团队作战”，要求产出毕业作品集并验证商业价值。</w:t>
      </w:r>
    </w:p>
    <w:p w14:paraId="1148B47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创新创业平台</w:t>
      </w:r>
    </w:p>
    <w:p w14:paraId="2D3F2AA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学院拥有总价值992.11万元的实验仪器设备，总台套数超700台，实验室总面积达1470.32㎡，生均使用面积7㎡/人。充足且先进的摄制与后期设备，能够充分满足微专业高频次的短视频拍摄、非线性剪辑及特效包装等实践教学需求。近五年，依托现有教学体系，学生在各类高水平竞赛中表现优异。累计获得学科和技能竞赛奖项8项（其中国家级7项）、艺术创作奖项26项（其中国家级6项），并成功立项多项创新创业项目。</w:t>
      </w:r>
    </w:p>
    <w:p w14:paraId="6B53BC6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学术资源</w:t>
      </w:r>
    </w:p>
    <w:p w14:paraId="066EB72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在师资与学科建设方面，现有专任教师16人，其中教授3人、副教授7人，博士占比达75%，专业背景涵盖新闻传播学、戏剧与影视学、计算机科学等五个学科门类；学院实验室总面积1470.32平方米，仪器设备总值992.11万元，可支撑实训课程的标准教学；同时与徐州报业传媒集团新媒体中心等13家单位共建校外实习实训基地，每年接纳学生进行平均30周以上的长周期生产实习，实现课堂知识向行业能力的常态化转化</w:t>
      </w:r>
    </w:p>
    <w:p w14:paraId="6075D60B">
      <w:pPr>
        <w:spacing w:after="0" w:line="279"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五、招生对象及条件</w:t>
      </w:r>
    </w:p>
    <w:p w14:paraId="23A153A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楷体" w:hAnsi="楷体" w:eastAsia="楷体" w:cs="楷体"/>
          <w:b w:val="0"/>
          <w:bCs w:val="0"/>
          <w:sz w:val="32"/>
          <w:szCs w:val="32"/>
        </w:rPr>
        <w:t>（一）招生对象：</w:t>
      </w:r>
      <w:r>
        <w:rPr>
          <w:rFonts w:hint="eastAsia" w:ascii="仿宋" w:hAnsi="仿宋" w:eastAsia="仿宋" w:cs="仿宋"/>
          <w:color w:val="000000"/>
          <w:sz w:val="32"/>
          <w:szCs w:val="32"/>
          <w:shd w:val="clear" w:color="auto" w:fill="FFFFFF"/>
        </w:rPr>
        <w:t>面向全校各专业本科生（建议大</w:t>
      </w:r>
      <w:r>
        <w:rPr>
          <w:rFonts w:hint="eastAsia" w:ascii="仿宋" w:hAnsi="仿宋" w:eastAsia="仿宋" w:cs="仿宋"/>
          <w:color w:val="000000"/>
          <w:sz w:val="32"/>
          <w:szCs w:val="32"/>
          <w:shd w:val="clear" w:color="auto" w:fill="FFFFFF"/>
          <w:lang w:eastAsia="zh-CN"/>
        </w:rPr>
        <w:t>一、大</w:t>
      </w:r>
      <w:r>
        <w:rPr>
          <w:rFonts w:hint="eastAsia" w:ascii="仿宋" w:hAnsi="仿宋" w:eastAsia="仿宋" w:cs="仿宋"/>
          <w:color w:val="000000"/>
          <w:sz w:val="32"/>
          <w:szCs w:val="32"/>
          <w:shd w:val="clear" w:color="auto" w:fill="FFFFFF"/>
        </w:rPr>
        <w:t>二、大三学生修读）</w:t>
      </w:r>
      <w:r>
        <w:rPr>
          <w:rFonts w:hint="eastAsia" w:ascii="仿宋" w:hAnsi="仿宋" w:eastAsia="仿宋" w:cs="仿宋"/>
          <w:color w:val="000000"/>
          <w:sz w:val="32"/>
          <w:szCs w:val="32"/>
          <w:shd w:val="clear" w:color="auto" w:fill="FFFFFF"/>
          <w:lang w:eastAsia="zh-CN"/>
        </w:rPr>
        <w:t>及有条件的研究生</w:t>
      </w:r>
      <w:r>
        <w:rPr>
          <w:rFonts w:hint="eastAsia" w:ascii="仿宋" w:hAnsi="仿宋" w:eastAsia="仿宋" w:cs="仿宋"/>
          <w:color w:val="000000"/>
          <w:sz w:val="32"/>
          <w:szCs w:val="32"/>
          <w:shd w:val="clear" w:color="auto" w:fill="FFFFFF"/>
        </w:rPr>
        <w:t>开放。特别适合对新媒体运营、影视制作、品牌营销感兴趣，或希望通过短视频技能赋能本专业（如“农产品电商”“旅游推广”“科普教育”）的学生。</w:t>
      </w:r>
    </w:p>
    <w:p w14:paraId="7F1286C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color w:val="000000" w:themeColor="text1"/>
          <w:sz w:val="32"/>
          <w:szCs w:val="32"/>
          <w14:textFill>
            <w14:solidFill>
              <w14:schemeClr w14:val="tx1"/>
            </w14:solidFill>
          </w14:textFill>
        </w:rPr>
      </w:pPr>
      <w:r>
        <w:rPr>
          <w:rFonts w:hint="eastAsia" w:ascii="楷体" w:hAnsi="楷体" w:eastAsia="楷体" w:cs="楷体"/>
          <w:b w:val="0"/>
          <w:bCs w:val="0"/>
          <w:sz w:val="32"/>
          <w:szCs w:val="32"/>
        </w:rPr>
        <w:t>（二）计划招生人数：</w:t>
      </w:r>
      <w:r>
        <w:rPr>
          <w:rFonts w:hint="eastAsia" w:ascii="仿宋" w:hAnsi="仿宋" w:eastAsia="仿宋" w:cs="仿宋"/>
          <w:color w:val="000000"/>
          <w:sz w:val="32"/>
          <w:szCs w:val="32"/>
          <w:shd w:val="clear" w:color="auto" w:fill="FFFFFF"/>
        </w:rPr>
        <w:t>计划招生50人</w:t>
      </w:r>
    </w:p>
    <w:p w14:paraId="04C9761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color w:val="000000" w:themeColor="text1"/>
          <w:sz w:val="32"/>
          <w:szCs w:val="32"/>
          <w14:textFill>
            <w14:solidFill>
              <w14:schemeClr w14:val="tx1"/>
            </w14:solidFill>
          </w14:textFill>
        </w:rPr>
      </w:pPr>
      <w:r>
        <w:rPr>
          <w:rFonts w:hint="eastAsia" w:ascii="楷体" w:hAnsi="楷体" w:eastAsia="楷体" w:cs="楷体"/>
          <w:b w:val="0"/>
          <w:bCs w:val="0"/>
          <w:sz w:val="32"/>
          <w:szCs w:val="32"/>
        </w:rPr>
        <w:t>（三）学制、学分：</w:t>
      </w:r>
      <w:r>
        <w:rPr>
          <w:rFonts w:hint="eastAsia" w:ascii="仿宋" w:hAnsi="仿宋" w:eastAsia="仿宋" w:cs="仿宋"/>
          <w:color w:val="000000"/>
          <w:sz w:val="32"/>
          <w:szCs w:val="32"/>
          <w:shd w:val="clear" w:color="auto" w:fill="FFFFFF"/>
        </w:rPr>
        <w:t>240学时、15学分的设置</w:t>
      </w:r>
    </w:p>
    <w:p w14:paraId="3FC3CBC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楷体" w:hAnsi="楷体" w:eastAsia="楷体" w:cs="楷体"/>
          <w:b w:val="0"/>
          <w:bCs w:val="0"/>
          <w:sz w:val="32"/>
          <w:szCs w:val="32"/>
        </w:rPr>
        <w:t>（四）收费标准：</w:t>
      </w:r>
      <w:r>
        <w:rPr>
          <w:rFonts w:hint="eastAsia" w:ascii="仿宋" w:hAnsi="仿宋" w:eastAsia="仿宋" w:cs="仿宋"/>
          <w:color w:val="000000"/>
          <w:sz w:val="32"/>
          <w:szCs w:val="32"/>
          <w:shd w:val="clear" w:color="auto" w:fill="FFFFFF"/>
          <w:lang w:val="en-US" w:eastAsia="zh-CN"/>
        </w:rPr>
        <w:t>8</w:t>
      </w:r>
      <w:r>
        <w:rPr>
          <w:rFonts w:hint="eastAsia" w:ascii="仿宋" w:hAnsi="仿宋" w:eastAsia="仿宋" w:cs="仿宋"/>
          <w:color w:val="000000"/>
          <w:sz w:val="32"/>
          <w:szCs w:val="32"/>
          <w:shd w:val="clear" w:color="auto" w:fill="FFFFFF"/>
        </w:rPr>
        <w:t>0元/分，合计1</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00 元</w:t>
      </w:r>
    </w:p>
    <w:p w14:paraId="556DB4C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ascii="宋体" w:hAnsi="宋体" w:eastAsia="宋体" w:cs="宋体"/>
          <w:sz w:val="32"/>
          <w:szCs w:val="32"/>
        </w:rPr>
      </w:pPr>
      <w:r>
        <w:rPr>
          <w:rFonts w:hint="eastAsia" w:ascii="楷体" w:hAnsi="楷体" w:eastAsia="楷体" w:cs="楷体"/>
          <w:b w:val="0"/>
          <w:bCs w:val="0"/>
          <w:sz w:val="32"/>
          <w:szCs w:val="32"/>
        </w:rPr>
        <w:t>（五）授课方式：</w:t>
      </w:r>
      <w:r>
        <w:rPr>
          <w:rFonts w:hint="eastAsia" w:ascii="仿宋" w:hAnsi="仿宋" w:eastAsia="仿宋" w:cs="仿宋"/>
          <w:color w:val="000000"/>
          <w:sz w:val="32"/>
          <w:szCs w:val="32"/>
          <w:shd w:val="clear" w:color="auto" w:fill="FFFFFF"/>
        </w:rPr>
        <w:t>本微专业独立开班，学制一年，利用课余时间授课。线上线下混合式授课。</w:t>
      </w:r>
    </w:p>
    <w:p w14:paraId="6CBD69E5">
      <w:pPr>
        <w:spacing w:after="0" w:line="279" w:lineRule="auto"/>
        <w:ind w:firstLine="640" w:firstLineChars="200"/>
        <w:rPr>
          <w:color w:val="000000" w:themeColor="text1"/>
          <w:sz w:val="32"/>
          <w:szCs w:val="32"/>
          <w14:textFill>
            <w14:solidFill>
              <w14:schemeClr w14:val="tx1"/>
            </w14:solidFill>
          </w14:textFill>
        </w:rPr>
      </w:pPr>
      <w:r>
        <w:rPr>
          <w:rFonts w:hint="eastAsia" w:ascii="黑体" w:hAnsi="黑体" w:eastAsia="黑体" w:cs="黑体"/>
          <w:b w:val="0"/>
          <w:bCs w:val="0"/>
          <w:sz w:val="32"/>
          <w:szCs w:val="32"/>
        </w:rPr>
        <w:t>六、学分认定与证书授予</w:t>
      </w:r>
    </w:p>
    <w:p w14:paraId="39945F1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ascii="宋体" w:hAnsi="宋体" w:eastAsia="宋体" w:cs="宋体"/>
          <w:color w:val="000000" w:themeColor="text1"/>
          <w:sz w:val="32"/>
          <w:szCs w:val="32"/>
          <w14:textFill>
            <w14:solidFill>
              <w14:schemeClr w14:val="tx1"/>
            </w14:solidFill>
          </w14:textFill>
        </w:rPr>
      </w:pPr>
      <w:r>
        <w:rPr>
          <w:rFonts w:hint="eastAsia" w:ascii="仿宋" w:hAnsi="仿宋" w:eastAsia="仿宋" w:cs="仿宋"/>
          <w:color w:val="000000"/>
          <w:sz w:val="32"/>
          <w:szCs w:val="32"/>
          <w:shd w:val="clear" w:color="auto" w:fill="FFFFFF"/>
        </w:rPr>
        <w:t>学生完成微专业培养方案规定的课程并达到学习要求，由微专业所在学院审核后提出结业名单，报教务处备案，由教务处统一颁发结业证书和成绩单；微专业是非学历教育，不授予学位。</w:t>
      </w:r>
    </w:p>
    <w:p w14:paraId="0C10DA96">
      <w:pPr>
        <w:spacing w:after="0" w:line="279" w:lineRule="auto"/>
        <w:ind w:firstLine="640" w:firstLineChars="200"/>
        <w:rPr>
          <w:b/>
          <w:bCs/>
          <w:sz w:val="32"/>
          <w:szCs w:val="32"/>
        </w:rPr>
      </w:pPr>
      <w:r>
        <w:rPr>
          <w:rFonts w:hint="eastAsia" w:ascii="黑体" w:hAnsi="黑体" w:eastAsia="黑体" w:cs="黑体"/>
          <w:b w:val="0"/>
          <w:bCs w:val="0"/>
          <w:sz w:val="32"/>
          <w:szCs w:val="32"/>
          <w:lang w:eastAsia="zh-CN"/>
        </w:rPr>
        <w:t>七、</w:t>
      </w:r>
      <w:r>
        <w:rPr>
          <w:rFonts w:hint="eastAsia" w:ascii="黑体" w:hAnsi="黑体" w:eastAsia="黑体" w:cs="黑体"/>
          <w:b w:val="0"/>
          <w:bCs w:val="0"/>
          <w:sz w:val="32"/>
          <w:szCs w:val="32"/>
        </w:rPr>
        <w:t>微专业课程</w:t>
      </w:r>
    </w:p>
    <w:p w14:paraId="7D9E6F2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（一）课程设置及学时分配表</w:t>
      </w:r>
    </w:p>
    <w:tbl>
      <w:tblPr>
        <w:tblStyle w:val="15"/>
        <w:tblW w:w="5000" w:type="pct"/>
        <w:jc w:val="center"/>
        <w:tblLayout w:type="autofit"/>
        <w:tblCellMar>
          <w:top w:w="0" w:type="dxa"/>
          <w:left w:w="0" w:type="dxa"/>
          <w:bottom w:w="0" w:type="dxa"/>
          <w:right w:w="0" w:type="dxa"/>
        </w:tblCellMar>
      </w:tblPr>
      <w:tblGrid>
        <w:gridCol w:w="820"/>
        <w:gridCol w:w="3221"/>
        <w:gridCol w:w="970"/>
        <w:gridCol w:w="936"/>
        <w:gridCol w:w="1303"/>
        <w:gridCol w:w="1362"/>
      </w:tblGrid>
      <w:tr w14:paraId="095FF70D">
        <w:tblPrEx>
          <w:tblCellMar>
            <w:top w:w="0" w:type="dxa"/>
            <w:left w:w="0" w:type="dxa"/>
            <w:bottom w:w="0" w:type="dxa"/>
            <w:right w:w="0" w:type="dxa"/>
          </w:tblCellMar>
        </w:tblPrEx>
        <w:trPr>
          <w:trHeight w:val="485" w:hRule="exact"/>
          <w:jc w:val="center"/>
        </w:trPr>
        <w:tc>
          <w:tcPr>
            <w:tcW w:w="47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1C0483">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序号</w:t>
            </w:r>
          </w:p>
        </w:tc>
        <w:tc>
          <w:tcPr>
            <w:tcW w:w="18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E5F679">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课程名称</w:t>
            </w:r>
          </w:p>
        </w:tc>
        <w:tc>
          <w:tcPr>
            <w:tcW w:w="56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2D547A">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学分</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0EA1F6">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学时</w:t>
            </w:r>
          </w:p>
        </w:tc>
        <w:tc>
          <w:tcPr>
            <w:tcW w:w="75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684BD0">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开设学期</w:t>
            </w:r>
          </w:p>
        </w:tc>
        <w:tc>
          <w:tcPr>
            <w:tcW w:w="79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311E30">
            <w:pPr>
              <w:snapToGrid w:val="0"/>
              <w:spacing w:after="0" w:line="240" w:lineRule="auto"/>
              <w:ind w:left="0" w:leftChars="0" w:right="0" w:rightChars="0" w:firstLine="0" w:firstLineChars="0"/>
              <w:jc w:val="center"/>
              <w:rPr>
                <w:rFonts w:hint="eastAsia" w:ascii="仿宋" w:hAnsi="仿宋" w:eastAsia="仿宋" w:cs="仿宋"/>
                <w:b/>
                <w:bCs w:val="0"/>
                <w:sz w:val="24"/>
                <w:szCs w:val="24"/>
                <w14:ligatures w14:val="none"/>
              </w:rPr>
            </w:pPr>
            <w:r>
              <w:rPr>
                <w:rFonts w:hint="eastAsia" w:ascii="仿宋" w:hAnsi="仿宋" w:eastAsia="仿宋" w:cs="仿宋"/>
                <w:b/>
                <w:bCs w:val="0"/>
                <w:sz w:val="24"/>
                <w:szCs w:val="24"/>
                <w14:ligatures w14:val="none"/>
              </w:rPr>
              <w:t>课程性质</w:t>
            </w:r>
          </w:p>
        </w:tc>
      </w:tr>
      <w:tr w14:paraId="507AE44F">
        <w:tblPrEx>
          <w:tblCellMar>
            <w:top w:w="0" w:type="dxa"/>
            <w:left w:w="0" w:type="dxa"/>
            <w:bottom w:w="0" w:type="dxa"/>
            <w:right w:w="0" w:type="dxa"/>
          </w:tblCellMar>
        </w:tblPrEx>
        <w:trPr>
          <w:trHeight w:val="360" w:hRule="exact"/>
          <w:jc w:val="center"/>
        </w:trPr>
        <w:tc>
          <w:tcPr>
            <w:tcW w:w="47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1955882">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18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971423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bookmarkStart w:id="0" w:name="_Hlk168565787"/>
            <w:bookmarkEnd w:id="0"/>
            <w:r>
              <w:rPr>
                <w:rFonts w:hint="eastAsia" w:ascii="仿宋" w:hAnsi="仿宋" w:eastAsia="仿宋" w:cs="仿宋"/>
                <w:b w:val="0"/>
                <w:bCs w:val="0"/>
                <w:color w:val="auto"/>
                <w:sz w:val="24"/>
                <w:szCs w:val="24"/>
                <w:lang w:val="en-US" w:eastAsia="zh-CN"/>
                <w14:ligatures w14:val="none"/>
              </w:rPr>
              <w:t>短视频账号策划与IP孵化</w:t>
            </w:r>
          </w:p>
        </w:tc>
        <w:tc>
          <w:tcPr>
            <w:tcW w:w="56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05899A">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47CA21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32</w:t>
            </w:r>
          </w:p>
        </w:tc>
        <w:tc>
          <w:tcPr>
            <w:tcW w:w="75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629788">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79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5C1412">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10A21A5D">
        <w:tblPrEx>
          <w:tblCellMar>
            <w:top w:w="0" w:type="dxa"/>
            <w:left w:w="0" w:type="dxa"/>
            <w:bottom w:w="0" w:type="dxa"/>
            <w:right w:w="0" w:type="dxa"/>
          </w:tblCellMar>
        </w:tblPrEx>
        <w:trPr>
          <w:trHeight w:val="360" w:hRule="exact"/>
          <w:jc w:val="center"/>
        </w:trPr>
        <w:tc>
          <w:tcPr>
            <w:tcW w:w="47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5958896">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18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4A5ACD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短视频脚本创作与文案设计</w:t>
            </w:r>
          </w:p>
        </w:tc>
        <w:tc>
          <w:tcPr>
            <w:tcW w:w="56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E3D55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7B8D3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32</w:t>
            </w:r>
          </w:p>
        </w:tc>
        <w:tc>
          <w:tcPr>
            <w:tcW w:w="75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E6774B">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79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7B34B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19421384">
        <w:tblPrEx>
          <w:tblCellMar>
            <w:top w:w="0" w:type="dxa"/>
            <w:left w:w="0" w:type="dxa"/>
            <w:bottom w:w="0" w:type="dxa"/>
            <w:right w:w="0" w:type="dxa"/>
          </w:tblCellMar>
        </w:tblPrEx>
        <w:trPr>
          <w:trHeight w:val="360" w:hRule="exact"/>
          <w:jc w:val="center"/>
        </w:trPr>
        <w:tc>
          <w:tcPr>
            <w:tcW w:w="47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DA1902">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18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FE368D">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短视频视听语言与拍摄剪辑</w:t>
            </w:r>
          </w:p>
        </w:tc>
        <w:tc>
          <w:tcPr>
            <w:tcW w:w="56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7F640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32CA80D">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48</w:t>
            </w:r>
          </w:p>
        </w:tc>
        <w:tc>
          <w:tcPr>
            <w:tcW w:w="75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37AFD9">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79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61E95A">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4D25FE57">
        <w:tblPrEx>
          <w:tblCellMar>
            <w:top w:w="0" w:type="dxa"/>
            <w:left w:w="0" w:type="dxa"/>
            <w:bottom w:w="0" w:type="dxa"/>
            <w:right w:w="0" w:type="dxa"/>
          </w:tblCellMar>
        </w:tblPrEx>
        <w:trPr>
          <w:trHeight w:val="360" w:hRule="exact"/>
          <w:jc w:val="center"/>
        </w:trPr>
        <w:tc>
          <w:tcPr>
            <w:tcW w:w="47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6F35F2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w:t>
            </w:r>
          </w:p>
        </w:tc>
        <w:tc>
          <w:tcPr>
            <w:tcW w:w="18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956D5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短视频后期包装与音频设计</w:t>
            </w:r>
          </w:p>
        </w:tc>
        <w:tc>
          <w:tcPr>
            <w:tcW w:w="56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C8FD80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604ED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32</w:t>
            </w:r>
          </w:p>
        </w:tc>
        <w:tc>
          <w:tcPr>
            <w:tcW w:w="75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BCE843">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w:t>
            </w:r>
          </w:p>
        </w:tc>
        <w:tc>
          <w:tcPr>
            <w:tcW w:w="79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275CF5">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484E1596">
        <w:tblPrEx>
          <w:tblCellMar>
            <w:top w:w="0" w:type="dxa"/>
            <w:left w:w="0" w:type="dxa"/>
            <w:bottom w:w="0" w:type="dxa"/>
            <w:right w:w="0" w:type="dxa"/>
          </w:tblCellMar>
        </w:tblPrEx>
        <w:trPr>
          <w:trHeight w:val="360" w:hRule="exact"/>
          <w:jc w:val="center"/>
        </w:trPr>
        <w:tc>
          <w:tcPr>
            <w:tcW w:w="47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9B398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5</w:t>
            </w:r>
          </w:p>
        </w:tc>
        <w:tc>
          <w:tcPr>
            <w:tcW w:w="18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FBD04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bookmarkStart w:id="1" w:name="_Hlk168565965"/>
            <w:bookmarkEnd w:id="1"/>
            <w:r>
              <w:rPr>
                <w:rFonts w:hint="eastAsia" w:ascii="仿宋" w:hAnsi="仿宋" w:eastAsia="仿宋" w:cs="仿宋"/>
                <w:b w:val="0"/>
                <w:bCs w:val="0"/>
                <w:color w:val="auto"/>
                <w:sz w:val="24"/>
                <w:szCs w:val="24"/>
                <w:lang w:val="en-US" w:eastAsia="zh-CN"/>
                <w14:ligatures w14:val="none"/>
              </w:rPr>
              <w:t>AIGC内容生产与应用</w:t>
            </w:r>
          </w:p>
        </w:tc>
        <w:tc>
          <w:tcPr>
            <w:tcW w:w="56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722FE0">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2</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A3766C">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32</w:t>
            </w:r>
          </w:p>
        </w:tc>
        <w:tc>
          <w:tcPr>
            <w:tcW w:w="75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02E31B">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w:t>
            </w:r>
          </w:p>
        </w:tc>
        <w:tc>
          <w:tcPr>
            <w:tcW w:w="79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CF3C6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628DCA7E">
        <w:tblPrEx>
          <w:tblCellMar>
            <w:top w:w="0" w:type="dxa"/>
            <w:left w:w="0" w:type="dxa"/>
            <w:bottom w:w="0" w:type="dxa"/>
            <w:right w:w="0" w:type="dxa"/>
          </w:tblCellMar>
        </w:tblPrEx>
        <w:trPr>
          <w:trHeight w:val="360" w:hRule="exact"/>
          <w:jc w:val="center"/>
        </w:trPr>
        <w:tc>
          <w:tcPr>
            <w:tcW w:w="47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9EFC39">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6</w:t>
            </w:r>
          </w:p>
        </w:tc>
        <w:tc>
          <w:tcPr>
            <w:tcW w:w="18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3F03A7">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短视频运营策略与数据分析</w:t>
            </w:r>
          </w:p>
        </w:tc>
        <w:tc>
          <w:tcPr>
            <w:tcW w:w="56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7BFBB4">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7400A8">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16</w:t>
            </w:r>
          </w:p>
        </w:tc>
        <w:tc>
          <w:tcPr>
            <w:tcW w:w="75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84A05D1">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w:t>
            </w:r>
          </w:p>
        </w:tc>
        <w:tc>
          <w:tcPr>
            <w:tcW w:w="79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ACE2C7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r w14:paraId="7A5B7A5E">
        <w:tblPrEx>
          <w:tblCellMar>
            <w:top w:w="0" w:type="dxa"/>
            <w:left w:w="0" w:type="dxa"/>
            <w:bottom w:w="0" w:type="dxa"/>
            <w:right w:w="0" w:type="dxa"/>
          </w:tblCellMar>
        </w:tblPrEx>
        <w:trPr>
          <w:trHeight w:val="360" w:hRule="exact"/>
          <w:jc w:val="center"/>
        </w:trPr>
        <w:tc>
          <w:tcPr>
            <w:tcW w:w="47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9E331D">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7</w:t>
            </w:r>
          </w:p>
        </w:tc>
        <w:tc>
          <w:tcPr>
            <w:tcW w:w="1869"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41BDC96">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bookmarkStart w:id="2" w:name="_Hlk168566011"/>
            <w:bookmarkEnd w:id="2"/>
            <w:r>
              <w:rPr>
                <w:rFonts w:hint="eastAsia" w:ascii="仿宋" w:hAnsi="仿宋" w:eastAsia="仿宋" w:cs="仿宋"/>
                <w:b w:val="0"/>
                <w:bCs w:val="0"/>
                <w:color w:val="auto"/>
                <w:sz w:val="24"/>
                <w:szCs w:val="24"/>
                <w:lang w:val="en-US" w:eastAsia="zh-CN"/>
                <w14:ligatures w14:val="none"/>
              </w:rPr>
              <w:t>全案项目实战与商业化变现</w:t>
            </w:r>
          </w:p>
        </w:tc>
        <w:tc>
          <w:tcPr>
            <w:tcW w:w="56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EA6CD6">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3</w:t>
            </w:r>
          </w:p>
        </w:tc>
        <w:tc>
          <w:tcPr>
            <w:tcW w:w="543"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B5E41CF">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48</w:t>
            </w:r>
          </w:p>
        </w:tc>
        <w:tc>
          <w:tcPr>
            <w:tcW w:w="756"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0F639E">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4</w:t>
            </w:r>
          </w:p>
        </w:tc>
        <w:tc>
          <w:tcPr>
            <w:tcW w:w="790"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6D4778">
            <w:pPr>
              <w:snapToGrid w:val="0"/>
              <w:spacing w:after="0" w:line="240" w:lineRule="auto"/>
              <w:ind w:left="0" w:leftChars="0" w:right="0" w:rightChars="0" w:firstLine="0" w:firstLineChars="0"/>
              <w:jc w:val="center"/>
              <w:rPr>
                <w:rFonts w:hint="eastAsia" w:ascii="仿宋" w:hAnsi="仿宋" w:eastAsia="仿宋" w:cs="仿宋"/>
                <w:b w:val="0"/>
                <w:bCs w:val="0"/>
                <w:color w:val="auto"/>
                <w:sz w:val="24"/>
                <w:szCs w:val="24"/>
                <w:lang w:val="en-US" w:eastAsia="zh-CN"/>
                <w14:ligatures w14:val="none"/>
              </w:rPr>
            </w:pPr>
            <w:r>
              <w:rPr>
                <w:rFonts w:hint="eastAsia" w:ascii="仿宋" w:hAnsi="仿宋" w:eastAsia="仿宋" w:cs="仿宋"/>
                <w:b w:val="0"/>
                <w:bCs w:val="0"/>
                <w:color w:val="auto"/>
                <w:sz w:val="24"/>
                <w:szCs w:val="24"/>
                <w:lang w:val="en-US" w:eastAsia="zh-CN"/>
                <w14:ligatures w14:val="none"/>
              </w:rPr>
              <w:t>必修</w:t>
            </w:r>
          </w:p>
        </w:tc>
      </w:tr>
    </w:tbl>
    <w:p w14:paraId="174E56B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（二）课程简介</w:t>
      </w:r>
    </w:p>
    <w:p w14:paraId="3361AE8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bookmarkStart w:id="3" w:name="OLE_LINK6"/>
      <w:r>
        <w:rPr>
          <w:rFonts w:hint="eastAsia" w:ascii="仿宋" w:hAnsi="仿宋" w:eastAsia="仿宋" w:cs="仿宋"/>
          <w:color w:val="000000"/>
          <w:sz w:val="32"/>
          <w:szCs w:val="32"/>
          <w:shd w:val="clear" w:color="auto" w:fill="FFFFFF"/>
        </w:rPr>
        <w:t>1</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《短视频账号策划与IP孵化》</w:t>
      </w:r>
    </w:p>
    <w:p w14:paraId="457066A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确立人设与赛道，聚焦顶层设计，垂直领域定位及人设IP构建，帮助学生掌握用户画像分析能力。学生在账号启动之初便建立“内容服务于用户、创作服从于定位”的系统思维。教学内容包括人设差异化定位策略、用户画像数据采集与标签等体系。通过头部账号复盘、垂类赛道竞品对比等教学形式，强化学生的策略研判能力与决策逻辑。</w:t>
      </w:r>
    </w:p>
    <w:bookmarkEnd w:id="3"/>
    <w:p w14:paraId="041EDBB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w:t>
      </w:r>
      <w:bookmarkStart w:id="4" w:name="OLE_LINK7"/>
      <w:r>
        <w:rPr>
          <w:rFonts w:hint="eastAsia" w:ascii="仿宋" w:hAnsi="仿宋" w:eastAsia="仿宋" w:cs="仿宋"/>
          <w:color w:val="000000"/>
          <w:sz w:val="32"/>
          <w:szCs w:val="32"/>
          <w:shd w:val="clear" w:color="auto" w:fill="FFFFFF"/>
        </w:rPr>
        <w:t>《短视频脚本创作与文案设计》</w:t>
      </w:r>
    </w:p>
    <w:p w14:paraId="2EDF435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打磨爆款逻辑，聚焦内容内核，教授爆款选题挖掘、叙事结构搭建及分镜头脚本撰写，重点训练“黄金前3秒”的文案抓取力。教学内容涵盖爆款选题的流量密码拆解、高打开率标题与封面协同设计、前3秒悬念、视听元素与文案的情绪对位、分镜头脚本的工业化写作规范等板块，致力于培养学生兼具创意敏感与结构效率的职业化脚本创作能力。</w:t>
      </w:r>
    </w:p>
    <w:bookmarkEnd w:id="4"/>
    <w:p w14:paraId="4627F86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w:t>
      </w:r>
      <w:bookmarkStart w:id="5" w:name="OLE_LINK11"/>
      <w:r>
        <w:rPr>
          <w:rFonts w:hint="eastAsia" w:ascii="仿宋" w:hAnsi="仿宋" w:eastAsia="仿宋" w:cs="仿宋"/>
          <w:color w:val="000000"/>
          <w:sz w:val="32"/>
          <w:szCs w:val="32"/>
          <w:shd w:val="clear" w:color="auto" w:fill="FFFFFF"/>
        </w:rPr>
        <w:t>《短视频视听语言与拍摄剪辑》</w:t>
      </w:r>
    </w:p>
    <w:p w14:paraId="0670D14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培养学生实践能力，聚焦制作核心，系统训练竖屏运镜、布光构图及非线性剪辑逻辑，确保基础视听质量。剪辑层面，重点训练快节奏卡点剪辑、信息密度压缩、字幕动效匹配；审美层面，通过拉片拆解头部创作者镜头语言，建立对画幅、色调、景别切换、镜头时长分布等微观元素的敏感度与取舍力。</w:t>
      </w:r>
    </w:p>
    <w:bookmarkEnd w:id="5"/>
    <w:p w14:paraId="31182B3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w:t>
      </w:r>
      <w:bookmarkStart w:id="6" w:name="OLE_LINK12"/>
      <w:r>
        <w:rPr>
          <w:rFonts w:hint="eastAsia" w:ascii="仿宋" w:hAnsi="仿宋" w:eastAsia="仿宋" w:cs="仿宋"/>
          <w:color w:val="000000"/>
          <w:sz w:val="32"/>
          <w:szCs w:val="32"/>
          <w:shd w:val="clear" w:color="auto" w:fill="FFFFFF"/>
        </w:rPr>
        <w:t>《短视频后期包装与音频设计》</w:t>
      </w:r>
    </w:p>
    <w:p w14:paraId="073EA1D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涵盖特效制作、动态字幕及音效设计，提升作品的专业度与沉浸感。教学内容包括动态视觉层面，系统训练关键帧动画、花字体系设计、转场特效及跟踪遮罩等，重点解决“信息层级扁平、画面缺乏呼吸感”的共性问题；听觉叙事层面，深度讲授环境音构建、拟音设计、人声润色、情绪音乐库匹配及响度标准化。</w:t>
      </w:r>
    </w:p>
    <w:bookmarkEnd w:id="6"/>
    <w:p w14:paraId="08D38C2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5.《AIGC内容生产与应用》</w:t>
      </w:r>
    </w:p>
    <w:p w14:paraId="36B5505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紧跟技术前沿，教授利用AI辅助脚本生成、素材制作及数字人应用，培养人机协作的高效生产思维，使学生不仅会使用AI工具，更具备设计AI生产流程、定义AI输出标准的能力。数字人应用层面，从数字人形象定制、语音克隆、动作驱动到直播中控全流程实操，使学生掌握无需真人出镜仍能维持账号日更的工业化生产能力。</w:t>
      </w:r>
    </w:p>
    <w:p w14:paraId="64D924E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bookmarkStart w:id="7" w:name="OLE_LINK13"/>
      <w:r>
        <w:rPr>
          <w:rFonts w:hint="eastAsia" w:ascii="仿宋" w:hAnsi="仿宋" w:eastAsia="仿宋" w:cs="仿宋"/>
          <w:color w:val="000000"/>
          <w:sz w:val="32"/>
          <w:szCs w:val="32"/>
          <w:shd w:val="clear" w:color="auto" w:fill="FFFFFF"/>
        </w:rPr>
        <w:t>6.《短视频运营策略与数据分析》</w:t>
      </w:r>
    </w:p>
    <w:p w14:paraId="796A7ED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解析平台流量分发规则，实操DOU+投流策略，通过核心数据（完播率、复购率）复盘优化运营方向。使学生掌握从流量获取到用户沉淀、从单条爆款到账号资产的全周期运营方法论。通过理论讲解与实战操作的深度结合，确保学生不仅理解运营策略的底层逻辑，更能熟练运用数据分析工具与运营技巧，独立完成账号的全周期运营与优化。</w:t>
      </w:r>
    </w:p>
    <w:bookmarkEnd w:id="7"/>
    <w:p w14:paraId="05903F9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7.《全案项目实战与商业化变现》</w:t>
      </w:r>
    </w:p>
    <w:p w14:paraId="09E557A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采用工作室模式教学实践，引入真实商业项目提升学生实战能力。学生参与项目全流程，从策划，到制作，再到上线运营。同时，探索电商带货运作机制和广告植入方法，理论结合实践积累经验，提升专业技能与综合素质。最终，以项目成果整合形成毕业作品集，为职业发展奠基。</w:t>
      </w:r>
    </w:p>
    <w:p w14:paraId="3E6097E8">
      <w:pPr>
        <w:spacing w:after="0" w:line="279" w:lineRule="auto"/>
        <w:ind w:firstLine="640" w:firstLineChars="200"/>
        <w:rPr>
          <w:b w:val="0"/>
          <w:bCs w:val="0"/>
        </w:rPr>
      </w:pPr>
      <w:r>
        <w:rPr>
          <w:rFonts w:hint="eastAsia" w:ascii="黑体" w:hAnsi="黑体" w:eastAsia="黑体" w:cs="黑体"/>
          <w:b w:val="0"/>
          <w:bCs w:val="0"/>
          <w:sz w:val="32"/>
          <w:szCs w:val="32"/>
        </w:rPr>
        <w:t>八、报名和咨询</w:t>
      </w:r>
    </w:p>
    <w:p w14:paraId="1AB06AE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有意报名的同学请加QQ群（群号： 1084335102 ），下载填写《江苏师范大学学生微专业申请表》，并于3月</w:t>
      </w:r>
      <w:r>
        <w:rPr>
          <w:rFonts w:hint="eastAsia" w:ascii="仿宋" w:hAnsi="仿宋" w:eastAsia="仿宋" w:cs="仿宋"/>
          <w:color w:val="000000"/>
          <w:sz w:val="32"/>
          <w:szCs w:val="32"/>
          <w:shd w:val="clear" w:color="auto" w:fill="FFFFFF"/>
          <w:lang w:val="en-US" w:eastAsia="zh-CN"/>
        </w:rPr>
        <w:t>20</w:t>
      </w:r>
      <w:r>
        <w:rPr>
          <w:rFonts w:hint="eastAsia" w:ascii="仿宋" w:hAnsi="仿宋" w:eastAsia="仿宋" w:cs="仿宋"/>
          <w:color w:val="000000"/>
          <w:sz w:val="32"/>
          <w:szCs w:val="32"/>
          <w:shd w:val="clear" w:color="auto" w:fill="FFFFFF"/>
        </w:rPr>
        <w:t xml:space="preserve"> 日17：1</w:t>
      </w:r>
      <w:r>
        <w:rPr>
          <w:rFonts w:hint="eastAsia" w:ascii="仿宋" w:hAnsi="仿宋" w:eastAsia="仿宋" w:cs="仿宋"/>
          <w:color w:val="000000"/>
          <w:sz w:val="32"/>
          <w:szCs w:val="32"/>
          <w:shd w:val="clear" w:color="auto" w:fill="FFFFFF"/>
          <w:lang w:val="en-US" w:eastAsia="zh-CN"/>
        </w:rPr>
        <w:t>0</w:t>
      </w:r>
      <w:bookmarkStart w:id="8" w:name="_GoBack"/>
      <w:bookmarkEnd w:id="8"/>
      <w:r>
        <w:rPr>
          <w:rFonts w:hint="eastAsia" w:ascii="仿宋" w:hAnsi="仿宋" w:eastAsia="仿宋" w:cs="仿宋"/>
          <w:color w:val="000000"/>
          <w:sz w:val="32"/>
          <w:szCs w:val="32"/>
          <w:shd w:val="clear" w:color="auto" w:fill="FFFFFF"/>
        </w:rPr>
        <w:t>前报送至静远楼1711教务办公室。</w:t>
      </w:r>
    </w:p>
    <w:p w14:paraId="7D01448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工作咨询、联系人：佟老师。</w:t>
      </w:r>
    </w:p>
    <w:p w14:paraId="10294AC2">
      <w:pPr>
        <w:spacing w:after="0" w:line="279" w:lineRule="auto"/>
        <w:ind w:firstLine="640" w:firstLineChars="200"/>
      </w:pPr>
      <w:r>
        <w:rPr>
          <w:rFonts w:hint="eastAsia" w:ascii="仿宋" w:hAnsi="仿宋" w:eastAsia="仿宋" w:cs="仿宋"/>
          <w:color w:val="000000"/>
          <w:sz w:val="32"/>
          <w:szCs w:val="32"/>
          <w:shd w:val="clear" w:color="auto" w:fill="FFFFFF"/>
          <w:lang w:val="en-US" w:eastAsia="zh-CN"/>
        </w:rPr>
        <w:t xml:space="preserve">              </w:t>
      </w:r>
      <w:r>
        <w:rPr>
          <w:rFonts w:hint="eastAsia"/>
          <w:lang w:val="en-US" w:eastAsia="zh-CN"/>
        </w:rPr>
        <w:t xml:space="preserve">  </w:t>
      </w:r>
      <w:r>
        <w:rPr>
          <w:rFonts w:hint="eastAsia"/>
        </w:rPr>
        <w:drawing>
          <wp:inline distT="0" distB="0" distL="114300" distR="114300">
            <wp:extent cx="1806575" cy="3213100"/>
            <wp:effectExtent l="0" t="0" r="3175" b="6350"/>
            <wp:docPr id="3" name="图片 3" descr="94011a01843d0b0277a93f5ace30a3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4011a01843d0b0277a93f5ace30a38d"/>
                    <pic:cNvPicPr>
                      <a:picLocks noChangeAspect="1"/>
                    </pic:cNvPicPr>
                  </pic:nvPicPr>
                  <pic:blipFill>
                    <a:blip r:embed="rId6"/>
                    <a:stretch>
                      <a:fillRect/>
                    </a:stretch>
                  </pic:blipFill>
                  <pic:spPr>
                    <a:xfrm>
                      <a:off x="0" y="0"/>
                      <a:ext cx="1806575" cy="3213100"/>
                    </a:xfrm>
                    <a:prstGeom prst="rect">
                      <a:avLst/>
                    </a:prstGeom>
                  </pic:spPr>
                </pic:pic>
              </a:graphicData>
            </a:graphic>
          </wp:inline>
        </w:drawing>
      </w:r>
    </w:p>
    <w:p w14:paraId="1B25B1C5">
      <w:pPr>
        <w:spacing w:after="0" w:line="279" w:lineRule="auto"/>
        <w:ind w:firstLine="440" w:firstLineChars="200"/>
      </w:pPr>
    </w:p>
    <w:sectPr>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0DDE93-07D9-4D57-8CFC-182D3DCE626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38865BCA-8893-4101-AA4B-5DF0029B0687}"/>
  </w:font>
  <w:font w:name="仿宋">
    <w:panose1 w:val="02010609060101010101"/>
    <w:charset w:val="86"/>
    <w:family w:val="auto"/>
    <w:pitch w:val="default"/>
    <w:sig w:usb0="800002BF" w:usb1="38CF7CFA" w:usb2="00000016" w:usb3="00000000" w:csb0="00040001" w:csb1="00000000"/>
    <w:embedRegular r:id="rId3" w:fontKey="{EBBD9E22-7887-4152-AF59-08A448FA3548}"/>
  </w:font>
  <w:font w:name="楷体">
    <w:panose1 w:val="02010609060101010101"/>
    <w:charset w:val="86"/>
    <w:family w:val="auto"/>
    <w:pitch w:val="default"/>
    <w:sig w:usb0="800002BF" w:usb1="38CF7CFA" w:usb2="00000016" w:usb3="00000000" w:csb0="00040001" w:csb1="00000000"/>
    <w:embedRegular r:id="rId4" w:fontKey="{85EF369E-34E4-4AE9-AC52-4DCC87D763FE}"/>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4MmY2ZGIzMGFjM2VlOWU5YTA1MTFhZGYwNmI1ZWIifQ=="/>
  </w:docVars>
  <w:rsids>
    <w:rsidRoot w:val="008A2774"/>
    <w:rsid w:val="000B6BF8"/>
    <w:rsid w:val="00197FA4"/>
    <w:rsid w:val="001A1EC7"/>
    <w:rsid w:val="001F2BD3"/>
    <w:rsid w:val="00570EED"/>
    <w:rsid w:val="00630A57"/>
    <w:rsid w:val="0078492C"/>
    <w:rsid w:val="0081234C"/>
    <w:rsid w:val="00832C98"/>
    <w:rsid w:val="008A2774"/>
    <w:rsid w:val="009613C3"/>
    <w:rsid w:val="00B21122"/>
    <w:rsid w:val="00B6361F"/>
    <w:rsid w:val="00B94646"/>
    <w:rsid w:val="00C00EE3"/>
    <w:rsid w:val="00C900F4"/>
    <w:rsid w:val="00D05706"/>
    <w:rsid w:val="00D47C78"/>
    <w:rsid w:val="00DA1402"/>
    <w:rsid w:val="00DC146D"/>
    <w:rsid w:val="00DD3F67"/>
    <w:rsid w:val="00E85A10"/>
    <w:rsid w:val="00ED73CD"/>
    <w:rsid w:val="00F9530D"/>
    <w:rsid w:val="04DE21B6"/>
    <w:rsid w:val="0659586C"/>
    <w:rsid w:val="0DBA631B"/>
    <w:rsid w:val="10A342B4"/>
    <w:rsid w:val="10B268B7"/>
    <w:rsid w:val="14A31207"/>
    <w:rsid w:val="158C5316"/>
    <w:rsid w:val="166D72BD"/>
    <w:rsid w:val="174B2FAF"/>
    <w:rsid w:val="17F11DA8"/>
    <w:rsid w:val="1A383FE3"/>
    <w:rsid w:val="1B143DDF"/>
    <w:rsid w:val="1C455FC4"/>
    <w:rsid w:val="1C5446B4"/>
    <w:rsid w:val="1E651310"/>
    <w:rsid w:val="1EDD6BE3"/>
    <w:rsid w:val="24700890"/>
    <w:rsid w:val="25CB1E8B"/>
    <w:rsid w:val="27912C60"/>
    <w:rsid w:val="29276861"/>
    <w:rsid w:val="2A9669CD"/>
    <w:rsid w:val="2AA027A4"/>
    <w:rsid w:val="2BCF1FA9"/>
    <w:rsid w:val="2D99461C"/>
    <w:rsid w:val="2EA06C26"/>
    <w:rsid w:val="2F8A4872"/>
    <w:rsid w:val="37357164"/>
    <w:rsid w:val="41C4412D"/>
    <w:rsid w:val="426E3E72"/>
    <w:rsid w:val="448160DE"/>
    <w:rsid w:val="478A71EC"/>
    <w:rsid w:val="4A5D766A"/>
    <w:rsid w:val="4B306168"/>
    <w:rsid w:val="4C602A7D"/>
    <w:rsid w:val="5CEE5E83"/>
    <w:rsid w:val="5D1C479E"/>
    <w:rsid w:val="61137C66"/>
    <w:rsid w:val="6376471B"/>
    <w:rsid w:val="637D3ABD"/>
    <w:rsid w:val="658B24C1"/>
    <w:rsid w:val="663A3E22"/>
    <w:rsid w:val="67E81DE7"/>
    <w:rsid w:val="6ABA55F7"/>
    <w:rsid w:val="6F235B2D"/>
    <w:rsid w:val="6FC7059A"/>
    <w:rsid w:val="70351F79"/>
    <w:rsid w:val="70D266D0"/>
    <w:rsid w:val="74A92964"/>
    <w:rsid w:val="76E35A62"/>
    <w:rsid w:val="79C7027F"/>
    <w:rsid w:val="7C4B2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paragraph" w:customStyle="1" w:styleId="35">
    <w:name w:val="western"/>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character" w:customStyle="1" w:styleId="36">
    <w:name w:val="页眉 字符"/>
    <w:basedOn w:val="16"/>
    <w:link w:val="12"/>
    <w:qFormat/>
    <w:uiPriority w:val="99"/>
    <w:rPr>
      <w:rFonts w:asciiTheme="minorHAnsi" w:hAnsiTheme="minorHAnsi" w:eastAsiaTheme="minorEastAsia" w:cstheme="minorBidi"/>
      <w:kern w:val="2"/>
      <w:sz w:val="18"/>
      <w:szCs w:val="18"/>
      <w14:ligatures w14:val="standardContextual"/>
    </w:rPr>
  </w:style>
  <w:style w:type="character" w:customStyle="1" w:styleId="37">
    <w:name w:val="页脚 字符"/>
    <w:basedOn w:val="16"/>
    <w:link w:val="11"/>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5136</Words>
  <Characters>5268</Characters>
  <Lines>38</Lines>
  <Paragraphs>10</Paragraphs>
  <TotalTime>4</TotalTime>
  <ScaleCrop>false</ScaleCrop>
  <LinksUpToDate>false</LinksUpToDate>
  <CharactersWithSpaces>5289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2026-03-12T06:34:00Z</dcterms:created>
  <dc:creator>永乐 李</dc:creator>
  <cp:lastModifiedBy>灵灵</cp:lastModifiedBy>
  <dcterms:modified xsi:type="dcterms:W3CDTF">2026-03-14T08:17:25Z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366A4631C81E407EB0FE6B68C69A97E0</vt:lpwstr>
  </property>
  <property fmtid="{D5CDD505-2E9C-101B-9397-08002B2CF9AE}" pid="4" name="KSOTemplateDocerSaveRecord">
    <vt:lpwstr>eyJoZGlkIjoiNjViZjBlZjA5Nzk0Yzk2NDE1NzcyZjQ5ZmIwNjczYzkiLCJ1c2VySWQiOiI0OTA3MDkzODMifQ==</vt:lpwstr>
  </property>
</Properties>
</file>