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2D87A">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sz w:val="44"/>
          <w:szCs w:val="44"/>
        </w:rPr>
        <w:t>江苏师范大学</w:t>
      </w:r>
      <w:r>
        <w:rPr>
          <w:rFonts w:hint="eastAsia" w:ascii="方正小标宋简体" w:hAnsi="方正小标宋简体" w:eastAsia="方正小标宋简体" w:cs="方正小标宋简体"/>
          <w:b w:val="0"/>
          <w:bCs w:val="0"/>
          <w:sz w:val="44"/>
          <w:szCs w:val="44"/>
          <w:lang w:eastAsia="zh-CN"/>
        </w:rPr>
        <w:t>教育合规与法律实务</w:t>
      </w:r>
    </w:p>
    <w:p w14:paraId="21F8546D">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微专业招生简章</w:t>
      </w:r>
    </w:p>
    <w:p w14:paraId="570A4ECA">
      <w:pPr>
        <w:rPr>
          <w:rFonts w:hint="eastAsia"/>
        </w:rPr>
      </w:pPr>
    </w:p>
    <w:p w14:paraId="6B2340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黑体" w:hAnsi="黑体" w:eastAsia="黑体" w:cs="黑体"/>
          <w:b w:val="0"/>
          <w:bCs w:val="0"/>
          <w:sz w:val="32"/>
          <w:szCs w:val="32"/>
        </w:rPr>
        <w:t>一、微专业介绍</w:t>
      </w:r>
    </w:p>
    <w:p w14:paraId="103747D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微专业教育合规与法律实务立足全面依法治国与依法治教的时代背景，为全校本科生、教育行业从业者及法学爱好者打造系统、实用的教育合规法律知识与技能学习平台，内含《教育法与合规基础》《学校运营与管理合规实务》《教师职业风险防范与权益保护》《教育模拟实训与法律诊所》四门核心课程。</w:t>
      </w:r>
    </w:p>
    <w:p w14:paraId="33951A9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教育领域的法治化、规范化发展是新时代教育高质量发展的核心要求，从学校日常运营到教师职业履职，从学生权益保障到教育创新实践，均需完善的合规体系与专业的法律实务能力支撑。本微专业以合规为核心、实务为导向，系统覆盖教育法学核心理论、教育领域合规管理要点、法律风险防范与实务处理技能，课程内容涵盖教育法、教师法、未成年人保护法、高等教育法等关键法律法规，同时融入人工智能、大数据、在线教育等新兴技术带来的教育合规新挑战。</w:t>
      </w:r>
    </w:p>
    <w:p w14:paraId="37D4F18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微专业摒弃纯理论教学模式，通过案例分析、场景模拟、法律诊所、专题研讨等多元教学形式，将抽象法律条文与教育实际场景深度结合，帮助学习者构建教育合规思维体系，提升分析和解决教育领域各类合规与法律问题的实操能力。无论你是师范生、跨专业意向从事教育管理/教育科技的学生，还是教育行业从业者、法务人员，本微专业都将为你提供贴合职业需求的知识与技能，助力你在教育领域依法履职、合规运营，为构建法治化、高质量的教育环境贡献力量。</w:t>
      </w:r>
    </w:p>
    <w:p w14:paraId="7C5B0AA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黑体" w:hAnsi="黑体" w:eastAsia="黑体" w:cs="黑体"/>
          <w:b w:val="0"/>
          <w:bCs w:val="0"/>
          <w:sz w:val="32"/>
          <w:szCs w:val="32"/>
        </w:rPr>
        <w:t>二、培养目标</w:t>
      </w:r>
    </w:p>
    <w:p w14:paraId="6B8DFF7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（一）培养方向</w:t>
      </w:r>
    </w:p>
    <w:p w14:paraId="2F835D3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本微专业教育合规与法律实务紧扣教育行业发展需求，聚焦两大核心培养方向：</w:t>
      </w:r>
    </w:p>
    <w:p w14:paraId="41EE5EA1">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教育合规实务方向</w:t>
      </w:r>
    </w:p>
    <w:p w14:paraId="0B3E43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培养具备扎实的教育法学理论基础和系统的教育合规知识，能够精准解读教育法律法规、熟练处理教育领域合规审查、风险防控、纠纷解决、合同管理等实务问题的复合型技能人才。毕业生可胜任教育行政部门、各级各类学校、教育科技企业、教培机构、教育法律服务机构的合规管理、法律咨询、政策解读、纠纷处理等工作。</w:t>
      </w:r>
    </w:p>
    <w:p w14:paraId="4001F2D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b/>
          <w:bCs/>
          <w:sz w:val="32"/>
          <w:szCs w:val="32"/>
        </w:rPr>
      </w:pPr>
      <w:r>
        <w:rPr>
          <w:rFonts w:hint="eastAsia" w:ascii="仿宋" w:hAnsi="仿宋" w:eastAsia="仿宋" w:cs="仿宋"/>
          <w:b/>
          <w:bCs/>
          <w:sz w:val="32"/>
          <w:szCs w:val="32"/>
          <w:lang w:val="en-US" w:eastAsia="zh-CN"/>
        </w:rPr>
        <w:t>2.教育管理与政策合规方向</w:t>
      </w:r>
    </w:p>
    <w:p w14:paraId="52DFE8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eastAsia="宋体" w:cs="宋体"/>
          <w:b w:val="0"/>
          <w:bCs w:val="0"/>
          <w:sz w:val="32"/>
          <w:szCs w:val="32"/>
        </w:rPr>
      </w:pPr>
      <w:r>
        <w:rPr>
          <w:rFonts w:hint="eastAsia" w:ascii="仿宋" w:hAnsi="仿宋" w:eastAsia="仿宋" w:cs="仿宋"/>
          <w:b w:val="0"/>
          <w:bCs w:val="0"/>
          <w:sz w:val="32"/>
          <w:szCs w:val="32"/>
        </w:rPr>
        <w:t>培养能够洞察教育法治发展趋势，结合法学视角分析教育改革与发展中的合规问题，为教育政策制定、学校运营管理提供合规支撑与法律解决方案的专业人才。毕业生可在教育行政部门、学校管理岗位、教育研究机构从事教育政策研究、学校合规管理、教育法治建设等相关工作，为教育事业可持续发展提供法律与合规智慧。</w:t>
      </w:r>
    </w:p>
    <w:p w14:paraId="7E084B0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（二）培养模式</w:t>
      </w:r>
    </w:p>
    <w:p w14:paraId="2B54A121">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b/>
          <w:bCs/>
          <w:sz w:val="32"/>
          <w:szCs w:val="32"/>
        </w:rPr>
      </w:pPr>
      <w:r>
        <w:rPr>
          <w:rFonts w:hint="eastAsia" w:ascii="仿宋" w:hAnsi="仿宋" w:eastAsia="仿宋" w:cs="仿宋"/>
          <w:b/>
          <w:bCs/>
          <w:sz w:val="32"/>
          <w:szCs w:val="32"/>
          <w:lang w:val="en-US" w:eastAsia="zh-CN"/>
        </w:rPr>
        <w:t>1.特色课程设计</w:t>
      </w:r>
    </w:p>
    <w:p w14:paraId="37CEA2E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eastAsia="宋体" w:cs="宋体"/>
          <w:b w:val="0"/>
          <w:bCs w:val="0"/>
          <w:sz w:val="32"/>
          <w:szCs w:val="32"/>
        </w:rPr>
      </w:pPr>
      <w:r>
        <w:rPr>
          <w:rFonts w:hint="eastAsia" w:ascii="仿宋" w:hAnsi="仿宋" w:eastAsia="仿宋" w:cs="仿宋"/>
          <w:b w:val="0"/>
          <w:bCs w:val="0"/>
          <w:sz w:val="32"/>
          <w:szCs w:val="32"/>
        </w:rPr>
        <w:t>模块化课程结构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课程体系划分为 “教育合规基础理论”“教育领域专项合规”“教育法律实务实训”三大核心模块，层层递进、逻辑闭环，学习者可结合自身职业规划聚焦核心模块学习，构建个性化、实用性的知识体系。</w:t>
      </w:r>
    </w:p>
    <w:p w14:paraId="5ACAEA1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eastAsia="宋体" w:cs="宋体"/>
          <w:b w:val="0"/>
          <w:bCs w:val="0"/>
          <w:sz w:val="32"/>
          <w:szCs w:val="32"/>
        </w:rPr>
      </w:pPr>
      <w:r>
        <w:rPr>
          <w:rFonts w:hint="eastAsia" w:ascii="仿宋" w:hAnsi="仿宋" w:eastAsia="仿宋" w:cs="仿宋"/>
          <w:b w:val="0"/>
          <w:bCs w:val="0"/>
          <w:sz w:val="32"/>
          <w:szCs w:val="32"/>
        </w:rPr>
        <w:t>实战型课程设置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结合教育行业法治化发展与教育技术创新趋势，开设《教育法与合规基础》《学校运营与管理合规实务》等实战型课程，精准对接学校运营、教师履职、教育创新等场景的合规与法律需求，探讨依法治教背景下教育合规的新挑战、新方法。</w:t>
      </w:r>
    </w:p>
    <w:p w14:paraId="00CB4AF2">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b/>
          <w:bCs/>
          <w:sz w:val="32"/>
          <w:szCs w:val="32"/>
        </w:rPr>
      </w:pPr>
      <w:r>
        <w:rPr>
          <w:rFonts w:hint="eastAsia" w:ascii="仿宋" w:hAnsi="仿宋" w:eastAsia="仿宋" w:cs="仿宋"/>
          <w:b/>
          <w:bCs/>
          <w:sz w:val="32"/>
          <w:szCs w:val="32"/>
          <w:lang w:val="en-US" w:eastAsia="zh-CN"/>
        </w:rPr>
        <w:t>2.实践与创新</w:t>
      </w:r>
    </w:p>
    <w:p w14:paraId="13860C5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（1）项目驱动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鼓励学习者参与教育合规案例研究、校园合规风险排查等项目，模拟教育合规事务处理全流程，提升实操能力。</w:t>
      </w:r>
    </w:p>
    <w:p w14:paraId="6F12D7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（2）校企协同实训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与当地教育行政部门、各级各类学校、教育科技企业、律师事务所合作，提供真实的教育合规实务项目机会，让学习者在实践中理解教育合规在教育运营、商业运作中的实际应用。</w:t>
      </w:r>
    </w:p>
    <w:p w14:paraId="32F43D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（3）创新创业合规支持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针对有志于教育创新创业的学习者，提供教育创业项目合规评估、商业模式合规设计、法律风险防控等专业指导，助力教育创新创业项目合法合规落地。</w:t>
      </w:r>
    </w:p>
    <w:p w14:paraId="6290BFD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3.综合素质培养</w:t>
      </w:r>
    </w:p>
    <w:p w14:paraId="7B07EA6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eastAsia="宋体" w:cs="宋体"/>
          <w:b w:val="0"/>
          <w:bCs w:val="0"/>
          <w:sz w:val="32"/>
          <w:szCs w:val="32"/>
        </w:rPr>
      </w:pPr>
      <w:r>
        <w:rPr>
          <w:rFonts w:hint="eastAsia" w:ascii="仿宋" w:hAnsi="仿宋" w:eastAsia="仿宋" w:cs="仿宋"/>
          <w:b w:val="0"/>
          <w:bCs w:val="0"/>
          <w:sz w:val="32"/>
          <w:szCs w:val="32"/>
        </w:rPr>
        <w:t>注重培养学习者的逻辑思维、合规研判、沟通协调、文书撰写能力，同时强化严谨的法律职业素养、教育行业合规意识和社会责任感，打造“懂教育、通法律、善合规、能实操”的复合型人才。</w:t>
      </w:r>
    </w:p>
    <w:p w14:paraId="3548E99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（三）培养要求</w:t>
      </w:r>
    </w:p>
    <w:p w14:paraId="7CCD4FC5">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b/>
          <w:bCs/>
          <w:sz w:val="32"/>
          <w:szCs w:val="32"/>
        </w:rPr>
      </w:pPr>
      <w:r>
        <w:rPr>
          <w:rFonts w:hint="eastAsia" w:ascii="仿宋" w:hAnsi="仿宋" w:eastAsia="仿宋" w:cs="仿宋"/>
          <w:b/>
          <w:bCs/>
          <w:sz w:val="32"/>
          <w:szCs w:val="32"/>
          <w:lang w:val="en-US" w:eastAsia="zh-CN"/>
        </w:rPr>
        <w:t>1.理论基础</w:t>
      </w:r>
    </w:p>
    <w:p w14:paraId="4F00C43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掌握教育法学的基本理论、核心概念，熟悉教育领域核心法律法规，理解教育合规管理的基本原则、体系与方法。</w:t>
      </w:r>
    </w:p>
    <w:p w14:paraId="0B8F9583">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b/>
          <w:bCs/>
          <w:sz w:val="32"/>
          <w:szCs w:val="32"/>
        </w:rPr>
      </w:pPr>
      <w:r>
        <w:rPr>
          <w:rFonts w:hint="eastAsia" w:ascii="仿宋" w:hAnsi="仿宋" w:eastAsia="仿宋" w:cs="仿宋"/>
          <w:b/>
          <w:bCs/>
          <w:sz w:val="32"/>
          <w:szCs w:val="32"/>
          <w:lang w:val="en-US" w:eastAsia="zh-CN"/>
        </w:rPr>
        <w:t>2.实践能力</w:t>
      </w:r>
    </w:p>
    <w:p w14:paraId="15D5FFD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能够精准解读和适用教育法律法规，熟练处理学校运营、教师履职、学生管理等场景的合规问题，具备教育法律文书撰写、合规方案设计、简单法律纠纷处理的实操能力。</w:t>
      </w:r>
    </w:p>
    <w:p w14:paraId="64194062">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3.市场与政策</w:t>
      </w:r>
    </w:p>
    <w:p w14:paraId="17A9F98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了解国家教育法治建设与教育政策发展趋势，把握教育市场运行的合规要求，具备一定的教育政策研判和合规风险识别能力。</w:t>
      </w:r>
    </w:p>
    <w:p w14:paraId="55DF9B09">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4.社会责任与职业道德</w:t>
      </w:r>
    </w:p>
    <w:p w14:paraId="23479A4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树立牢固的教育合规意识和良好的法律职业道德，自觉维护教育公平、保障教育参与者合法权益，主动承担教育法治建设的社会责任。</w:t>
      </w:r>
    </w:p>
    <w:p w14:paraId="11BA84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黑体" w:hAnsi="黑体" w:eastAsia="黑体" w:cs="黑体"/>
          <w:b w:val="0"/>
          <w:bCs w:val="0"/>
          <w:sz w:val="32"/>
          <w:szCs w:val="32"/>
        </w:rPr>
        <w:t>三、专业特色</w:t>
      </w:r>
    </w:p>
    <w:p w14:paraId="42BA995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合规导向，紧扣行业刚需</w:t>
      </w:r>
    </w:p>
    <w:p w14:paraId="18B6989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紧跟教育领域法治化与合规化发展最新动态，课程内容精准对接学校运营、教师履职、教育科技等场景的核心合规需求，同时融入AI教育应用、校园数字化等新兴领域的合规要求，兼具前沿性与实用性。</w:t>
      </w:r>
    </w:p>
    <w:p w14:paraId="6DA606E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实践为本，强化实操能力</w:t>
      </w:r>
    </w:p>
    <w:p w14:paraId="0EA1C59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全程以“实务”为核心，通过大量真实教育合规案例分析、模拟法庭、法律诊所、合规实务工作坊等方式，让学习者在仿真/真实场景中提升教育合规操作、法律风险防范、纠纷解决的实际能力。</w:t>
      </w:r>
    </w:p>
    <w:p w14:paraId="3636F22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跨学科融合，打造复合视野</w:t>
      </w:r>
    </w:p>
    <w:p w14:paraId="28CEFBF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融合法学、教育学、教育管理学、社会学、心理学等多学科知识，打破单一学科壁垒，培养学习者从多维度分析和解决教育合规与法律问题的能力，适配教育领域多元化的职业需求。</w:t>
      </w:r>
    </w:p>
    <w:p w14:paraId="5889214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素养赋能，聚焦职业发展</w:t>
      </w:r>
    </w:p>
    <w:p w14:paraId="5FD1D29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不仅传授知识与技能，更注重培养教育合规思维、法律职业素养和教育行业责任感，既满足师范生入职前的职业法律素养储备，也适配跨专业学生进入教育领域的职业能力提升，助力学习者长期职业发展。</w:t>
      </w:r>
    </w:p>
    <w:p w14:paraId="1F7DAD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资源联动，沉浸式学习体验</w:t>
      </w:r>
    </w:p>
    <w:p w14:paraId="63FCE42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依托校内外实践基地、模拟法庭、法律诊所等平台，实现“校内教学+校外实践”深度联动，让学习者沉浸式参与教育合规实务处理，积累真实的职业经验。</w:t>
      </w:r>
    </w:p>
    <w:p w14:paraId="6DA1DA2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四、资源保障</w:t>
      </w:r>
    </w:p>
    <w:p w14:paraId="7450D6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教学团队</w:t>
      </w:r>
    </w:p>
    <w:p w14:paraId="043F1F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eastAsia="宋体" w:cs="宋体"/>
          <w:b w:val="0"/>
          <w:bCs w:val="0"/>
          <w:sz w:val="32"/>
          <w:szCs w:val="32"/>
        </w:rPr>
      </w:pPr>
      <w:r>
        <w:rPr>
          <w:rFonts w:hint="eastAsia" w:ascii="仿宋" w:hAnsi="仿宋" w:eastAsia="仿宋" w:cs="仿宋"/>
          <w:b w:val="0"/>
          <w:bCs w:val="0"/>
          <w:sz w:val="32"/>
          <w:szCs w:val="32"/>
        </w:rPr>
        <w:t>汇聚由教育法学、行政法领域资深教授、副教授，教育行政部门法规专家，中小学优秀管理干部，教育领域资深律师组成的高水平、跨领域教学团队，团队成员兼具深厚的理论功底和丰富的教育合规实务经验，确保教学的专业性、实用性与前沿性。</w:t>
      </w:r>
    </w:p>
    <w:p w14:paraId="08BCCB3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课程资源</w:t>
      </w:r>
    </w:p>
    <w:p w14:paraId="7871DF0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提供系统、权威的教育合规与法律实务教材、典型案例库、法律法规汇编、实务操作指南等线上线下相结合的优质课程资源，利用数字媒体技术打造多媒体教学材料、线上学习平台，方便学习者自主学习、随时查阅。</w:t>
      </w:r>
    </w:p>
    <w:p w14:paraId="0DAE52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实践平台</w:t>
      </w:r>
    </w:p>
    <w:p w14:paraId="20884AA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与校内外相关机构深度合作，搭建教育合规实习实践基地、法律咨询服务中心、标准化模拟法庭、法律诊所实验室等平台，为学习者提供充足的实践操作、创新创业与实务研究土壤。</w:t>
      </w:r>
    </w:p>
    <w:p w14:paraId="713D4A6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学术资源</w:t>
      </w:r>
    </w:p>
    <w:p w14:paraId="69BC450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拥有丰富的教育法学、合规管理、教育管理相关研究文献、专业数据库、核心期刊等学术资源，鼓励学习者开展教育合规领域的深度研究和问题探索，与国内教育法治领域顶尖学术机构保持紧密交流。</w:t>
      </w:r>
    </w:p>
    <w:p w14:paraId="5F7F8D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黑体" w:hAnsi="黑体" w:eastAsia="黑体" w:cs="黑体"/>
          <w:b w:val="0"/>
          <w:bCs w:val="0"/>
          <w:sz w:val="32"/>
          <w:szCs w:val="32"/>
        </w:rPr>
        <w:t>五、招生对象及条件</w:t>
      </w:r>
    </w:p>
    <w:p w14:paraId="5A8AD3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eastAsia="仿宋"/>
          <w:b w:val="0"/>
          <w:bCs w:val="0"/>
          <w:sz w:val="32"/>
          <w:szCs w:val="32"/>
          <w:lang w:eastAsia="zh-CN"/>
        </w:rPr>
      </w:pPr>
      <w:r>
        <w:rPr>
          <w:rFonts w:hint="eastAsia" w:ascii="楷体" w:hAnsi="楷体" w:eastAsia="楷体" w:cs="楷体"/>
          <w:b w:val="0"/>
          <w:bCs w:val="0"/>
          <w:sz w:val="32"/>
          <w:szCs w:val="32"/>
        </w:rPr>
        <w:t>（一）招生对象：</w:t>
      </w:r>
      <w:r>
        <w:rPr>
          <w:rFonts w:hint="eastAsia" w:ascii="仿宋" w:hAnsi="仿宋" w:eastAsia="仿宋" w:cs="仿宋"/>
          <w:b w:val="0"/>
          <w:bCs w:val="0"/>
          <w:sz w:val="32"/>
          <w:szCs w:val="32"/>
        </w:rPr>
        <w:t>全校各专业全日制</w:t>
      </w:r>
      <w:r>
        <w:rPr>
          <w:rFonts w:hint="eastAsia" w:ascii="仿宋" w:hAnsi="仿宋" w:eastAsia="仿宋" w:cs="仿宋"/>
          <w:b w:val="0"/>
          <w:bCs w:val="0"/>
          <w:sz w:val="32"/>
          <w:szCs w:val="32"/>
          <w:lang w:eastAsia="zh-CN"/>
        </w:rPr>
        <w:t>在读一、二、三年级</w:t>
      </w:r>
      <w:r>
        <w:rPr>
          <w:rFonts w:hint="eastAsia" w:ascii="仿宋" w:hAnsi="仿宋" w:eastAsia="仿宋" w:cs="仿宋"/>
          <w:b w:val="0"/>
          <w:bCs w:val="0"/>
          <w:sz w:val="32"/>
          <w:szCs w:val="32"/>
        </w:rPr>
        <w:t>本科生</w:t>
      </w:r>
      <w:r>
        <w:rPr>
          <w:rFonts w:hint="eastAsia" w:ascii="仿宋" w:hAnsi="仿宋" w:eastAsia="仿宋" w:cs="仿宋"/>
          <w:b w:val="0"/>
          <w:bCs w:val="0"/>
          <w:sz w:val="32"/>
          <w:szCs w:val="32"/>
          <w:lang w:eastAsia="zh-CN"/>
        </w:rPr>
        <w:t>及有条件的研究生</w:t>
      </w:r>
    </w:p>
    <w:p w14:paraId="7F162C9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rPr>
        <w:t>（二）计划招生人数：</w:t>
      </w:r>
      <w:r>
        <w:rPr>
          <w:rFonts w:hint="eastAsia" w:ascii="仿宋" w:hAnsi="仿宋" w:eastAsia="仿宋" w:cs="仿宋"/>
          <w:b w:val="0"/>
          <w:bCs w:val="0"/>
          <w:sz w:val="32"/>
          <w:szCs w:val="32"/>
        </w:rPr>
        <w:t>计划招生</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0人</w:t>
      </w:r>
    </w:p>
    <w:p w14:paraId="206DA2B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rPr>
        <w:t>（三）学制、学分：</w:t>
      </w:r>
      <w:r>
        <w:rPr>
          <w:rFonts w:hint="eastAsia" w:ascii="仿宋" w:hAnsi="仿宋" w:eastAsia="仿宋" w:cs="仿宋"/>
          <w:b w:val="0"/>
          <w:bCs w:val="0"/>
          <w:sz w:val="32"/>
          <w:szCs w:val="32"/>
        </w:rPr>
        <w:t>学制1年，12学分</w:t>
      </w:r>
    </w:p>
    <w:p w14:paraId="4257213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b/>
          <w:bCs/>
          <w:sz w:val="32"/>
          <w:szCs w:val="32"/>
        </w:rPr>
      </w:pPr>
      <w:r>
        <w:rPr>
          <w:rFonts w:hint="eastAsia" w:ascii="楷体" w:hAnsi="楷体" w:eastAsia="楷体" w:cs="楷体"/>
          <w:b w:val="0"/>
          <w:bCs w:val="0"/>
          <w:sz w:val="32"/>
          <w:szCs w:val="32"/>
        </w:rPr>
        <w:t>（四）收费标准：</w:t>
      </w:r>
      <w:r>
        <w:rPr>
          <w:rFonts w:hint="eastAsia" w:ascii="楷体" w:hAnsi="楷体" w:eastAsia="楷体" w:cs="楷体"/>
          <w:b w:val="0"/>
          <w:bCs w:val="0"/>
          <w:sz w:val="32"/>
          <w:szCs w:val="32"/>
          <w:lang w:val="en-US" w:eastAsia="zh-CN"/>
        </w:rPr>
        <w:t>8</w:t>
      </w:r>
      <w:r>
        <w:rPr>
          <w:rFonts w:hint="eastAsia" w:ascii="仿宋" w:hAnsi="仿宋" w:eastAsia="仿宋" w:cs="仿宋"/>
          <w:b w:val="0"/>
          <w:bCs w:val="0"/>
          <w:sz w:val="32"/>
          <w:szCs w:val="32"/>
        </w:rPr>
        <w:t>0元/分，合计</w:t>
      </w:r>
      <w:r>
        <w:rPr>
          <w:rFonts w:hint="eastAsia" w:ascii="仿宋" w:hAnsi="仿宋" w:eastAsia="仿宋" w:cs="仿宋"/>
          <w:b w:val="0"/>
          <w:bCs w:val="0"/>
          <w:sz w:val="32"/>
          <w:szCs w:val="32"/>
          <w:lang w:val="en-US" w:eastAsia="zh-CN"/>
        </w:rPr>
        <w:t>96</w:t>
      </w:r>
      <w:r>
        <w:rPr>
          <w:rFonts w:hint="eastAsia" w:ascii="仿宋" w:hAnsi="仿宋" w:eastAsia="仿宋" w:cs="仿宋"/>
          <w:b w:val="0"/>
          <w:bCs w:val="0"/>
          <w:sz w:val="32"/>
          <w:szCs w:val="32"/>
        </w:rPr>
        <w:t>0元</w:t>
      </w:r>
    </w:p>
    <w:p w14:paraId="56985E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（五）授课方式：</w:t>
      </w:r>
      <w:r>
        <w:rPr>
          <w:rFonts w:hint="eastAsia" w:ascii="仿宋" w:hAnsi="仿宋" w:eastAsia="仿宋" w:cs="仿宋"/>
          <w:b w:val="0"/>
          <w:bCs w:val="0"/>
          <w:sz w:val="32"/>
          <w:szCs w:val="32"/>
        </w:rPr>
        <w:t>本微专业独立开班，学制一年，利用课余时间授课。线上线下混合式授课。</w:t>
      </w:r>
    </w:p>
    <w:p w14:paraId="1E37FC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六、学分认定与证书授予</w:t>
      </w:r>
    </w:p>
    <w:p w14:paraId="37542B4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default" w:ascii="仿宋" w:hAnsi="仿宋" w:eastAsia="仿宋" w:cs="仿宋"/>
          <w:b w:val="0"/>
          <w:bCs w:val="0"/>
          <w:sz w:val="32"/>
          <w:szCs w:val="32"/>
        </w:rPr>
      </w:pPr>
      <w:r>
        <w:rPr>
          <w:rFonts w:hint="default" w:ascii="仿宋" w:hAnsi="仿宋" w:eastAsia="仿宋" w:cs="仿宋"/>
          <w:b w:val="0"/>
          <w:bCs w:val="0"/>
          <w:sz w:val="32"/>
          <w:szCs w:val="32"/>
        </w:rPr>
        <w:t>学生完成微专业培养方案规定的课程并达到学习要求，由微专业所在学院审核后提出结业名单，报教务处备案，由教务处统一颁发结业证书和成绩单；微专业是非学历教育，不授予学位。</w:t>
      </w:r>
    </w:p>
    <w:p w14:paraId="5EAEBE1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七、微专业课程</w:t>
      </w:r>
    </w:p>
    <w:p w14:paraId="03B7DE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（一）课程设置及学时分配表</w:t>
      </w:r>
    </w:p>
    <w:tbl>
      <w:tblPr>
        <w:tblStyle w:val="15"/>
        <w:tblW w:w="4944" w:type="pct"/>
        <w:jc w:val="center"/>
        <w:tblLayout w:type="fixed"/>
        <w:tblCellMar>
          <w:top w:w="0" w:type="dxa"/>
          <w:left w:w="0" w:type="dxa"/>
          <w:bottom w:w="0" w:type="dxa"/>
          <w:right w:w="0" w:type="dxa"/>
        </w:tblCellMar>
      </w:tblPr>
      <w:tblGrid>
        <w:gridCol w:w="867"/>
        <w:gridCol w:w="2969"/>
        <w:gridCol w:w="940"/>
        <w:gridCol w:w="1102"/>
        <w:gridCol w:w="1359"/>
        <w:gridCol w:w="1279"/>
      </w:tblGrid>
      <w:tr w14:paraId="7BE9A316">
        <w:tblPrEx>
          <w:tblCellMar>
            <w:top w:w="0" w:type="dxa"/>
            <w:left w:w="0" w:type="dxa"/>
            <w:bottom w:w="0" w:type="dxa"/>
            <w:right w:w="0" w:type="dxa"/>
          </w:tblCellMar>
        </w:tblPrEx>
        <w:trPr>
          <w:trHeight w:val="521"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DFE7C6">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7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E0832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EEC40A">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93411F">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7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C07D1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576D5F">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2D13477B">
        <w:tblPrEx>
          <w:tblCellMar>
            <w:top w:w="0" w:type="dxa"/>
            <w:left w:w="0" w:type="dxa"/>
            <w:bottom w:w="0" w:type="dxa"/>
            <w:right w:w="0" w:type="dxa"/>
          </w:tblCellMar>
        </w:tblPrEx>
        <w:trPr>
          <w:trHeight w:val="521"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B97C0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7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0A106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教育法与合规基础</w:t>
            </w:r>
          </w:p>
        </w:tc>
        <w:tc>
          <w:tcPr>
            <w:tcW w:w="5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1471A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7CD16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42</w:t>
            </w:r>
          </w:p>
        </w:tc>
        <w:tc>
          <w:tcPr>
            <w:tcW w:w="7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8E712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2C3E2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15D9879">
        <w:tblPrEx>
          <w:tblCellMar>
            <w:top w:w="0" w:type="dxa"/>
            <w:left w:w="0" w:type="dxa"/>
            <w:bottom w:w="0" w:type="dxa"/>
            <w:right w:w="0" w:type="dxa"/>
          </w:tblCellMar>
        </w:tblPrEx>
        <w:trPr>
          <w:trHeight w:val="522"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C2B4C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7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418C7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学校运营与管理合规实务</w:t>
            </w:r>
          </w:p>
        </w:tc>
        <w:tc>
          <w:tcPr>
            <w:tcW w:w="5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D67F6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A8A2C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42</w:t>
            </w:r>
          </w:p>
        </w:tc>
        <w:tc>
          <w:tcPr>
            <w:tcW w:w="7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0B2F6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C1CF1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14DB740E">
        <w:tblPrEx>
          <w:tblCellMar>
            <w:top w:w="0" w:type="dxa"/>
            <w:left w:w="0" w:type="dxa"/>
            <w:bottom w:w="0" w:type="dxa"/>
            <w:right w:w="0" w:type="dxa"/>
          </w:tblCellMar>
        </w:tblPrEx>
        <w:trPr>
          <w:trHeight w:val="521"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A3CC9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7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CB597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教师职业风险防范与权益保护</w:t>
            </w:r>
          </w:p>
        </w:tc>
        <w:tc>
          <w:tcPr>
            <w:tcW w:w="5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A78F8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E88FD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42</w:t>
            </w:r>
          </w:p>
        </w:tc>
        <w:tc>
          <w:tcPr>
            <w:tcW w:w="7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1C6CB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3B887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58B8DB67">
        <w:tblPrEx>
          <w:tblCellMar>
            <w:top w:w="0" w:type="dxa"/>
            <w:left w:w="0" w:type="dxa"/>
            <w:bottom w:w="0" w:type="dxa"/>
            <w:right w:w="0" w:type="dxa"/>
          </w:tblCellMar>
        </w:tblPrEx>
        <w:trPr>
          <w:trHeight w:val="522" w:hRule="atLeast"/>
          <w:jc w:val="center"/>
        </w:trPr>
        <w:tc>
          <w:tcPr>
            <w:tcW w:w="50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9CE7A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7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2BFC1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教育模拟实训与法律诊所</w:t>
            </w:r>
          </w:p>
        </w:tc>
        <w:tc>
          <w:tcPr>
            <w:tcW w:w="5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52432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4D7AC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42</w:t>
            </w:r>
          </w:p>
        </w:tc>
        <w:tc>
          <w:tcPr>
            <w:tcW w:w="79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5503C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A180B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bl>
    <w:p w14:paraId="7527C81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（二）课程简介</w:t>
      </w:r>
    </w:p>
    <w:p w14:paraId="5B293FE0">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cs="宋体"/>
          <w:b/>
          <w:bCs/>
          <w:sz w:val="32"/>
          <w:szCs w:val="32"/>
        </w:rPr>
      </w:pPr>
      <w:r>
        <w:rPr>
          <w:rFonts w:hint="eastAsia" w:ascii="仿宋" w:hAnsi="仿宋" w:eastAsia="仿宋" w:cs="仿宋"/>
          <w:b/>
          <w:bCs/>
          <w:sz w:val="32"/>
          <w:szCs w:val="32"/>
          <w:lang w:val="en-US" w:eastAsia="zh-CN"/>
        </w:rPr>
        <w:t>1.《教育法与合规基础》</w:t>
      </w:r>
    </w:p>
    <w:p w14:paraId="710BEB4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课程系统梳理教育法学的基本理论、核心概念与教育合规的基础体系，围绕教育法的性质、渊源、原则，教育法律关系构建，教育合规管理的核心要求，以及教育领域基本法律责任展开教学，帮助学习者建立规范、完整的教育法与合规知识框架，为后续专项合规学习和实务操作奠定坚实的理论基础。</w:t>
      </w:r>
    </w:p>
    <w:p w14:paraId="2292AE27">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2.《学校运营与管理合规实务》</w:t>
      </w:r>
    </w:p>
    <w:p w14:paraId="4EC0363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课程聚焦各级各类学校运营管理中的核心合规痛点，涵盖招生录取合规、校园安全与突发事件处置合规、学生管理与惩戒合规、校园信息与数据安全合规、教职工劳动人事合规、教育收费合规等内容，通过真实案例解析、合规方案设计等方式，提升学习者学校运营管理的合规研判与实操能力。</w:t>
      </w:r>
    </w:p>
    <w:p w14:paraId="27CD69E0">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cs="宋体"/>
          <w:b/>
          <w:bCs/>
          <w:sz w:val="32"/>
          <w:szCs w:val="32"/>
        </w:rPr>
      </w:pPr>
      <w:r>
        <w:rPr>
          <w:rFonts w:hint="eastAsia" w:ascii="仿宋" w:hAnsi="仿宋" w:eastAsia="仿宋" w:cs="仿宋"/>
          <w:b/>
          <w:bCs/>
          <w:sz w:val="32"/>
          <w:szCs w:val="32"/>
          <w:lang w:val="en-US" w:eastAsia="zh-CN"/>
        </w:rPr>
        <w:t>3.《教师职业风险防范与权益保护》</w:t>
      </w:r>
    </w:p>
    <w:p w14:paraId="5C6732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课程围绕教师职业发展全流程的法律与合规需求，双向赋能教师职业发展：一方面讲解教师履职过程中的职业红线，包括体罚与变相体罚、学术不端、家校沟通等场景的法律风险防范；另一方面系统介绍教师在劳动合同、职称评审、工伤认定、职业维权等方面的合法权益与救济途径，强化教师依法执教、依法维权的意识与能力。</w:t>
      </w:r>
    </w:p>
    <w:p w14:paraId="72715760">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cs="宋体"/>
          <w:b/>
          <w:bCs/>
          <w:sz w:val="32"/>
          <w:szCs w:val="32"/>
        </w:rPr>
      </w:pPr>
      <w:r>
        <w:rPr>
          <w:rFonts w:hint="eastAsia" w:ascii="仿宋" w:hAnsi="仿宋" w:eastAsia="仿宋" w:cs="仿宋"/>
          <w:b/>
          <w:bCs/>
          <w:sz w:val="32"/>
          <w:szCs w:val="32"/>
          <w:lang w:val="en-US" w:eastAsia="zh-CN"/>
        </w:rPr>
        <w:t>4.《教育模拟实训与法律诊所》</w:t>
      </w:r>
    </w:p>
    <w:p w14:paraId="1EA7903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本课程为微专业核心实训课程，依托模拟法庭、法律诊所实验室，采用沉浸式、互动式教学模式，设置校园合规纠纷调解、教育法律诉讼模拟、教育合规审查实操、教育法律咨询等实训模块，学习者分组扮演学校管理者、教师、学生、律师、调解员等角色，全程参与教育合规与法律事务处理全流程，实现理论知识向实操能力的全面转化，培养学习者的综合实务能力。</w:t>
      </w:r>
    </w:p>
    <w:p w14:paraId="74271EE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rPr>
      </w:pPr>
      <w:r>
        <w:rPr>
          <w:rFonts w:hint="eastAsia" w:ascii="黑体" w:hAnsi="黑体" w:eastAsia="黑体" w:cs="黑体"/>
          <w:b w:val="0"/>
          <w:bCs w:val="0"/>
          <w:sz w:val="32"/>
          <w:szCs w:val="32"/>
        </w:rPr>
        <w:t>八、报名和咨询</w:t>
      </w:r>
    </w:p>
    <w:p w14:paraId="606B05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有意报名的同学请加QQ群（群号：</w:t>
      </w:r>
      <w:r>
        <w:rPr>
          <w:rFonts w:hint="eastAsia" w:ascii="仿宋" w:hAnsi="仿宋" w:eastAsia="仿宋" w:cs="仿宋"/>
          <w:b w:val="0"/>
          <w:bCs w:val="0"/>
          <w:sz w:val="32"/>
          <w:szCs w:val="32"/>
          <w:lang w:val="en-US" w:eastAsia="zh-CN"/>
        </w:rPr>
        <w:t>1053381233</w:t>
      </w:r>
      <w:r>
        <w:rPr>
          <w:rFonts w:hint="eastAsia" w:ascii="仿宋" w:hAnsi="仿宋" w:eastAsia="仿宋" w:cs="仿宋"/>
          <w:b w:val="0"/>
          <w:bCs w:val="0"/>
          <w:sz w:val="32"/>
          <w:szCs w:val="32"/>
        </w:rPr>
        <w:t>），下载填写《江苏师范大学学生微专业申请表》，并于3月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日17：1</w:t>
      </w:r>
      <w:r>
        <w:rPr>
          <w:rFonts w:hint="eastAsia" w:ascii="仿宋" w:hAnsi="仿宋" w:eastAsia="仿宋" w:cs="仿宋"/>
          <w:b w:val="0"/>
          <w:bCs w:val="0"/>
          <w:sz w:val="32"/>
          <w:szCs w:val="32"/>
          <w:lang w:val="en-US" w:eastAsia="zh-CN"/>
        </w:rPr>
        <w:t>0</w:t>
      </w:r>
      <w:bookmarkStart w:id="0" w:name="_GoBack"/>
      <w:bookmarkEnd w:id="0"/>
      <w:r>
        <w:rPr>
          <w:rFonts w:hint="eastAsia" w:ascii="仿宋" w:hAnsi="仿宋" w:eastAsia="仿宋" w:cs="仿宋"/>
          <w:b w:val="0"/>
          <w:bCs w:val="0"/>
          <w:sz w:val="32"/>
          <w:szCs w:val="32"/>
        </w:rPr>
        <w:t>前报送至</w:t>
      </w:r>
      <w:r>
        <w:rPr>
          <w:rFonts w:hint="eastAsia" w:ascii="仿宋" w:hAnsi="仿宋" w:eastAsia="仿宋" w:cs="仿宋"/>
          <w:b w:val="0"/>
          <w:bCs w:val="0"/>
          <w:sz w:val="32"/>
          <w:szCs w:val="32"/>
          <w:lang w:val="en-US" w:eastAsia="zh-CN"/>
        </w:rPr>
        <w:t>16#609教务办公室</w:t>
      </w:r>
      <w:r>
        <w:rPr>
          <w:rFonts w:hint="eastAsia" w:ascii="仿宋" w:hAnsi="仿宋" w:eastAsia="仿宋" w:cs="仿宋"/>
          <w:b w:val="0"/>
          <w:bCs w:val="0"/>
          <w:sz w:val="32"/>
          <w:szCs w:val="32"/>
        </w:rPr>
        <w:t>。</w:t>
      </w:r>
    </w:p>
    <w:p w14:paraId="093FC89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工作咨询、联系人：</w:t>
      </w:r>
      <w:r>
        <w:rPr>
          <w:rFonts w:hint="eastAsia" w:ascii="仿宋" w:hAnsi="仿宋" w:eastAsia="仿宋" w:cs="仿宋"/>
          <w:b w:val="0"/>
          <w:bCs w:val="0"/>
          <w:sz w:val="32"/>
          <w:szCs w:val="32"/>
          <w:lang w:val="en-US" w:eastAsia="zh-CN"/>
        </w:rPr>
        <w:t>李</w:t>
      </w:r>
      <w:r>
        <w:rPr>
          <w:rFonts w:hint="eastAsia" w:ascii="仿宋" w:hAnsi="仿宋" w:eastAsia="仿宋" w:cs="仿宋"/>
          <w:b w:val="0"/>
          <w:bCs w:val="0"/>
          <w:sz w:val="32"/>
          <w:szCs w:val="32"/>
        </w:rPr>
        <w:t>老师</w:t>
      </w:r>
      <w:r>
        <w:rPr>
          <w:rFonts w:hint="eastAsia" w:ascii="仿宋" w:hAnsi="仿宋" w:eastAsia="仿宋" w:cs="仿宋"/>
          <w:b w:val="0"/>
          <w:bCs w:val="0"/>
          <w:sz w:val="32"/>
          <w:szCs w:val="32"/>
          <w:lang w:eastAsia="zh-CN"/>
        </w:rPr>
        <w:t>，83656479</w:t>
      </w:r>
    </w:p>
    <w:p w14:paraId="6EA098D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anchor distT="0" distB="0" distL="114300" distR="114300" simplePos="0" relativeHeight="251659264" behindDoc="0" locked="0" layoutInCell="1" allowOverlap="1">
            <wp:simplePos x="0" y="0"/>
            <wp:positionH relativeFrom="column">
              <wp:posOffset>1925955</wp:posOffset>
            </wp:positionH>
            <wp:positionV relativeFrom="paragraph">
              <wp:posOffset>515620</wp:posOffset>
            </wp:positionV>
            <wp:extent cx="2105660" cy="2605405"/>
            <wp:effectExtent l="0" t="0" r="8890" b="4445"/>
            <wp:wrapSquare wrapText="bothSides"/>
            <wp:docPr id="2" name="图片 2" descr="c2118e990ef6b6c22489104ac2ad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2118e990ef6b6c22489104ac2ad4969"/>
                    <pic:cNvPicPr>
                      <a:picLocks noChangeAspect="1"/>
                    </pic:cNvPicPr>
                  </pic:nvPicPr>
                  <pic:blipFill>
                    <a:blip r:embed="rId7"/>
                    <a:stretch>
                      <a:fillRect/>
                    </a:stretch>
                  </pic:blipFill>
                  <pic:spPr>
                    <a:xfrm>
                      <a:off x="0" y="0"/>
                      <a:ext cx="2105660" cy="2605405"/>
                    </a:xfrm>
                    <a:prstGeom prst="rect">
                      <a:avLst/>
                    </a:prstGeom>
                  </pic:spPr>
                </pic:pic>
              </a:graphicData>
            </a:graphic>
          </wp:anchor>
        </w:drawing>
      </w:r>
      <w:r>
        <w:rPr>
          <w:rFonts w:hint="eastAsia" w:ascii="仿宋" w:hAnsi="仿宋" w:eastAsia="仿宋" w:cs="仿宋"/>
          <w:b w:val="0"/>
          <w:bCs w:val="0"/>
          <w:sz w:val="32"/>
          <w:szCs w:val="32"/>
        </w:rPr>
        <w:t>QQ群二维码：</w:t>
      </w:r>
    </w:p>
    <w:sectPr>
      <w:foot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0918E8-9640-4C3C-A6DF-13832428F2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B4E3685D-B9C1-4165-9D56-582BEE511EB6}"/>
  </w:font>
  <w:font w:name="仿宋">
    <w:panose1 w:val="02010609060101010101"/>
    <w:charset w:val="86"/>
    <w:family w:val="auto"/>
    <w:pitch w:val="default"/>
    <w:sig w:usb0="800002BF" w:usb1="38CF7CFA" w:usb2="00000016" w:usb3="00000000" w:csb0="00040001" w:csb1="00000000"/>
    <w:embedRegular r:id="rId3" w:fontKey="{A0B48980-BD9F-4E02-AEF4-0B167D12700E}"/>
  </w:font>
  <w:font w:name="楷体">
    <w:panose1 w:val="02010609060101010101"/>
    <w:charset w:val="86"/>
    <w:family w:val="auto"/>
    <w:pitch w:val="default"/>
    <w:sig w:usb0="800002BF" w:usb1="38CF7CFA" w:usb2="00000016" w:usb3="00000000" w:csb0="00040001" w:csb1="00000000"/>
    <w:embedRegular r:id="rId4" w:fontKey="{F75A010F-F1CA-421C-A320-A843E437BC7D}"/>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4F2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0100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0100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570EED"/>
    <w:rsid w:val="00630A57"/>
    <w:rsid w:val="0078492C"/>
    <w:rsid w:val="008A2774"/>
    <w:rsid w:val="009613C3"/>
    <w:rsid w:val="00B21122"/>
    <w:rsid w:val="00C6664C"/>
    <w:rsid w:val="00C900F4"/>
    <w:rsid w:val="00D05706"/>
    <w:rsid w:val="00DA1402"/>
    <w:rsid w:val="00E85A10"/>
    <w:rsid w:val="014A102B"/>
    <w:rsid w:val="020C4532"/>
    <w:rsid w:val="03BD3D36"/>
    <w:rsid w:val="0C321AB2"/>
    <w:rsid w:val="0D1A3FA7"/>
    <w:rsid w:val="1A7F43BD"/>
    <w:rsid w:val="1D7C0366"/>
    <w:rsid w:val="1D90564D"/>
    <w:rsid w:val="21093CBF"/>
    <w:rsid w:val="213351E0"/>
    <w:rsid w:val="25587F64"/>
    <w:rsid w:val="25D8140D"/>
    <w:rsid w:val="28B94D7B"/>
    <w:rsid w:val="2E0028ED"/>
    <w:rsid w:val="2E792EFE"/>
    <w:rsid w:val="30E270E4"/>
    <w:rsid w:val="345E036E"/>
    <w:rsid w:val="370451FC"/>
    <w:rsid w:val="3E495BEB"/>
    <w:rsid w:val="4AA55D65"/>
    <w:rsid w:val="4CE129C1"/>
    <w:rsid w:val="54147E42"/>
    <w:rsid w:val="56CA33E9"/>
    <w:rsid w:val="5C720816"/>
    <w:rsid w:val="5CFD7E74"/>
    <w:rsid w:val="5EFB73B0"/>
    <w:rsid w:val="5FFF69C9"/>
    <w:rsid w:val="6488096B"/>
    <w:rsid w:val="678673E4"/>
    <w:rsid w:val="680D14C6"/>
    <w:rsid w:val="691B6FC2"/>
    <w:rsid w:val="73FDEE13"/>
    <w:rsid w:val="7515511C"/>
    <w:rsid w:val="759C6025"/>
    <w:rsid w:val="7A2D1FAE"/>
    <w:rsid w:val="7A576C53"/>
    <w:rsid w:val="7F804E33"/>
    <w:rsid w:val="7FF70C6B"/>
    <w:rsid w:val="AFDB0779"/>
    <w:rsid w:val="FDFCF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16fe62e7-5afc-4e54-9bf2-c90555000255</errorID>
      <errorWord>：</errorWord>
      <group>L1_Format</group>
      <groupName>格式问题</groupName>
      <ability>L2_HalfPunc</ability>
      <abilityName>全半角检查</abilityName>
      <candidateList>
        <item>:</item>
      </candidateList>
      <explain>文本全半角错误。</explain>
      <paraID>606B05FC</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8fc3d-5804-4dd0-9723-64684d16c5cb}">
  <ds:schemaRefs/>
</ds:datastoreItem>
</file>

<file path=docProps/app.xml><?xml version="1.0" encoding="utf-8"?>
<Properties xmlns="http://schemas.openxmlformats.org/officeDocument/2006/extended-properties" xmlns:vt="http://schemas.openxmlformats.org/officeDocument/2006/docPropsVTypes">
  <Template>Normal</Template>
  <Pages>9</Pages>
  <Words>3689</Words>
  <Characters>3740</Characters>
  <Lines>107</Lines>
  <Paragraphs>104</Paragraphs>
  <TotalTime>12</TotalTime>
  <ScaleCrop>false</ScaleCrop>
  <LinksUpToDate>false</LinksUpToDate>
  <CharactersWithSpaces>3741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2026-01-20T09:43:00Z</dcterms:created>
  <dc:creator>永乐 李</dc:creator>
  <cp:lastModifiedBy>灵灵</cp:lastModifiedBy>
  <cp:lastPrinted>2026-02-21T07:07:00Z</cp:lastPrinted>
  <dcterms:modified xsi:type="dcterms:W3CDTF">2026-03-14T08:20:41Z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154AE425CB304E719698A253DE373534_13</vt:lpwstr>
  </property>
  <property fmtid="{D5CDD505-2E9C-101B-9397-08002B2CF9AE}" pid="4" name="KSOTemplateDocerSaveRecord">
    <vt:lpwstr>eyJoZGlkIjoiNjViZjBlZjA5Nzk0Yzk2NDE1NzcyZjQ5ZmIwNjczYzkiLCJ1c2VySWQiOiI0OTA3MDkzODMifQ==</vt:lpwstr>
  </property>
</Properties>
</file>