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_GB2312" w:eastAsia="楷体_GB2312"/>
          <w:b/>
          <w:bCs/>
          <w:sz w:val="52"/>
          <w:szCs w:val="52"/>
        </w:rPr>
      </w:pPr>
    </w:p>
    <w:p>
      <w:pPr>
        <w:jc w:val="center"/>
        <w:rPr>
          <w:rFonts w:ascii="楷体_GB2312" w:eastAsia="楷体_GB2312"/>
          <w:b/>
          <w:bCs/>
          <w:sz w:val="52"/>
          <w:szCs w:val="52"/>
        </w:rPr>
      </w:pPr>
      <w:r>
        <w:rPr>
          <w:rFonts w:hint="eastAsia" w:ascii="楷体_GB2312" w:eastAsia="楷体_GB2312"/>
          <w:b/>
          <w:bCs/>
          <w:sz w:val="52"/>
          <w:szCs w:val="52"/>
        </w:rPr>
        <w:t>江苏师范大学</w:t>
      </w:r>
    </w:p>
    <w:p>
      <w:pPr>
        <w:jc w:val="center"/>
        <w:rPr>
          <w:rFonts w:ascii="楷体_GB2312" w:eastAsia="楷体_GB2312"/>
          <w:b/>
          <w:bCs/>
          <w:sz w:val="72"/>
          <w:szCs w:val="72"/>
        </w:rPr>
      </w:pPr>
      <w:r>
        <w:rPr>
          <w:rFonts w:hint="eastAsia" w:ascii="楷体_GB2312" w:eastAsia="楷体_GB2312"/>
          <w:b/>
          <w:bCs/>
          <w:sz w:val="52"/>
          <w:szCs w:val="52"/>
        </w:rPr>
        <w:t>泉山校区</w:t>
      </w:r>
      <w:r>
        <w:rPr>
          <w:rFonts w:hint="eastAsia" w:ascii="楷体_GB2312" w:eastAsia="楷体_GB2312"/>
          <w:b/>
          <w:bCs/>
          <w:sz w:val="52"/>
          <w:szCs w:val="52"/>
          <w:lang w:val="en-US" w:eastAsia="zh-CN"/>
        </w:rPr>
        <w:t>学生</w:t>
      </w:r>
      <w:r>
        <w:rPr>
          <w:rFonts w:hint="eastAsia" w:ascii="楷体_GB2312" w:eastAsia="楷体_GB2312"/>
          <w:b/>
          <w:bCs/>
          <w:sz w:val="52"/>
          <w:szCs w:val="52"/>
        </w:rPr>
        <w:t>一食堂承包经营服务</w:t>
      </w:r>
    </w:p>
    <w:p>
      <w:pPr>
        <w:spacing w:before="312" w:beforeLines="100"/>
        <w:jc w:val="center"/>
        <w:rPr>
          <w:sz w:val="30"/>
          <w:szCs w:val="30"/>
        </w:rPr>
      </w:pPr>
      <w:r>
        <w:rPr>
          <w:rFonts w:hint="eastAsia"/>
          <w:sz w:val="30"/>
          <w:szCs w:val="30"/>
        </w:rPr>
        <w:t>(项目编号：2019F09030 )</w:t>
      </w:r>
    </w:p>
    <w:p>
      <w:pPr>
        <w:spacing w:before="312" w:beforeLines="100"/>
        <w:jc w:val="center"/>
        <w:rPr>
          <w:sz w:val="30"/>
          <w:szCs w:val="30"/>
        </w:rPr>
      </w:pPr>
    </w:p>
    <w:p>
      <w:pPr>
        <w:jc w:val="center"/>
        <w:rPr>
          <w:rFonts w:eastAsia="黑体"/>
          <w:sz w:val="72"/>
        </w:rPr>
      </w:pPr>
      <w:r>
        <w:rPr>
          <w:rFonts w:hint="eastAsia" w:eastAsia="黑体"/>
          <w:sz w:val="72"/>
        </w:rPr>
        <w:t xml:space="preserve"> 招</w:t>
      </w:r>
    </w:p>
    <w:p>
      <w:pPr>
        <w:jc w:val="center"/>
        <w:rPr>
          <w:rFonts w:eastAsia="黑体"/>
          <w:sz w:val="72"/>
        </w:rPr>
      </w:pPr>
    </w:p>
    <w:p>
      <w:pPr>
        <w:jc w:val="center"/>
        <w:rPr>
          <w:rFonts w:eastAsia="黑体"/>
          <w:sz w:val="72"/>
        </w:rPr>
      </w:pPr>
      <w:r>
        <w:rPr>
          <w:rFonts w:hint="eastAsia" w:eastAsia="黑体"/>
          <w:sz w:val="72"/>
        </w:rPr>
        <w:t xml:space="preserve"> 标</w:t>
      </w:r>
    </w:p>
    <w:p>
      <w:pPr>
        <w:jc w:val="center"/>
        <w:rPr>
          <w:rFonts w:eastAsia="黑体"/>
          <w:sz w:val="72"/>
        </w:rPr>
      </w:pPr>
    </w:p>
    <w:p>
      <w:pPr>
        <w:tabs>
          <w:tab w:val="center" w:pos="4932"/>
          <w:tab w:val="left" w:pos="5835"/>
        </w:tabs>
        <w:ind w:firstLine="5040" w:firstLineChars="700"/>
        <w:jc w:val="left"/>
        <w:rPr>
          <w:rFonts w:eastAsia="黑体"/>
          <w:sz w:val="72"/>
        </w:rPr>
      </w:pPr>
      <w:r>
        <w:rPr>
          <w:rFonts w:hint="eastAsia" w:eastAsia="黑体"/>
          <w:sz w:val="72"/>
        </w:rPr>
        <w:t>文</w:t>
      </w:r>
    </w:p>
    <w:p>
      <w:pPr>
        <w:jc w:val="center"/>
        <w:rPr>
          <w:rFonts w:eastAsia="黑体"/>
          <w:sz w:val="72"/>
        </w:rPr>
      </w:pPr>
    </w:p>
    <w:p>
      <w:pPr>
        <w:jc w:val="center"/>
        <w:rPr>
          <w:rFonts w:eastAsia="黑体"/>
          <w:sz w:val="72"/>
        </w:rPr>
      </w:pPr>
      <w:r>
        <w:rPr>
          <w:rFonts w:hint="eastAsia" w:eastAsia="黑体"/>
          <w:sz w:val="72"/>
        </w:rPr>
        <w:t xml:space="preserve"> 件</w:t>
      </w:r>
    </w:p>
    <w:p>
      <w:pPr>
        <w:spacing w:line="400" w:lineRule="exact"/>
        <w:jc w:val="center"/>
        <w:rPr>
          <w:rFonts w:eastAsia="黑体"/>
          <w:sz w:val="72"/>
        </w:rPr>
      </w:pPr>
    </w:p>
    <w:p>
      <w:pPr>
        <w:spacing w:line="400" w:lineRule="exact"/>
        <w:jc w:val="center"/>
        <w:rPr>
          <w:rFonts w:ascii="楷体_GB2312" w:eastAsia="楷体_GB2312"/>
          <w:b/>
          <w:bCs/>
          <w:sz w:val="36"/>
        </w:rPr>
      </w:pPr>
    </w:p>
    <w:p>
      <w:pPr>
        <w:spacing w:line="400" w:lineRule="exact"/>
        <w:jc w:val="center"/>
        <w:rPr>
          <w:rFonts w:ascii="楷体_GB2312" w:eastAsia="楷体_GB2312"/>
          <w:b/>
          <w:bCs/>
          <w:sz w:val="36"/>
        </w:rPr>
      </w:pPr>
    </w:p>
    <w:p>
      <w:pPr>
        <w:spacing w:line="400" w:lineRule="exact"/>
        <w:jc w:val="center"/>
        <w:rPr>
          <w:rFonts w:ascii="楷体" w:hAnsi="楷体" w:eastAsia="楷体"/>
          <w:b/>
          <w:bCs/>
          <w:sz w:val="36"/>
          <w:szCs w:val="36"/>
        </w:rPr>
      </w:pPr>
      <w:r>
        <w:rPr>
          <w:rFonts w:hint="eastAsia" w:ascii="楷体" w:hAnsi="楷体" w:eastAsia="楷体"/>
          <w:b/>
          <w:bCs/>
          <w:sz w:val="36"/>
          <w:szCs w:val="36"/>
        </w:rPr>
        <w:t>江苏师范大学招标投标办公室</w:t>
      </w:r>
    </w:p>
    <w:p>
      <w:pPr>
        <w:spacing w:line="400" w:lineRule="exact"/>
        <w:jc w:val="center"/>
        <w:rPr>
          <w:rFonts w:ascii="楷体_GB2312" w:hAnsi="宋体" w:eastAsia="楷体_GB2312"/>
          <w:b/>
          <w:bCs/>
          <w:sz w:val="28"/>
          <w:szCs w:val="28"/>
        </w:rPr>
      </w:pPr>
      <w:r>
        <w:rPr>
          <w:rFonts w:hint="eastAsia" w:ascii="楷体" w:hAnsi="楷体" w:eastAsia="楷体"/>
          <w:b/>
          <w:bCs/>
          <w:sz w:val="36"/>
          <w:szCs w:val="36"/>
        </w:rPr>
        <w:t>2019年4月2</w:t>
      </w:r>
      <w:r>
        <w:rPr>
          <w:rFonts w:hint="eastAsia" w:ascii="楷体" w:hAnsi="楷体" w:eastAsia="楷体"/>
          <w:b/>
          <w:bCs/>
          <w:sz w:val="36"/>
          <w:szCs w:val="36"/>
          <w:lang w:val="en-US" w:eastAsia="zh-CN"/>
        </w:rPr>
        <w:t>9</w:t>
      </w:r>
      <w:r>
        <w:rPr>
          <w:rFonts w:hint="eastAsia" w:ascii="楷体" w:hAnsi="楷体" w:eastAsia="楷体"/>
          <w:b/>
          <w:bCs/>
          <w:sz w:val="36"/>
          <w:szCs w:val="36"/>
        </w:rPr>
        <w:t>日</w:t>
      </w:r>
    </w:p>
    <w:p>
      <w:pPr>
        <w:spacing w:line="400" w:lineRule="exact"/>
        <w:rPr>
          <w:rFonts w:ascii="楷体_GB2312" w:hAnsi="宋体" w:eastAsia="楷体_GB2312"/>
          <w:b/>
          <w:bCs/>
          <w:sz w:val="28"/>
          <w:szCs w:val="28"/>
        </w:rPr>
      </w:pPr>
    </w:p>
    <w:p/>
    <w:p/>
    <w:p/>
    <w:p/>
    <w:p>
      <w:pPr>
        <w:spacing w:line="400" w:lineRule="exact"/>
        <w:jc w:val="center"/>
        <w:outlineLvl w:val="1"/>
        <w:rPr>
          <w:b/>
          <w:sz w:val="32"/>
          <w:szCs w:val="32"/>
        </w:rPr>
      </w:pPr>
      <w:bookmarkStart w:id="0" w:name="_Toc392579143"/>
      <w:r>
        <w:rPr>
          <w:rFonts w:hint="eastAsia"/>
          <w:b/>
          <w:bCs/>
          <w:sz w:val="32"/>
          <w:szCs w:val="32"/>
        </w:rPr>
        <w:t xml:space="preserve">第一部分   </w:t>
      </w:r>
      <w:bookmarkEnd w:id="0"/>
      <w:bookmarkStart w:id="1" w:name="_Toc392579144"/>
      <w:bookmarkStart w:id="2" w:name="_Toc392496479"/>
      <w:r>
        <w:rPr>
          <w:rFonts w:hint="eastAsia"/>
          <w:b/>
          <w:bCs/>
          <w:sz w:val="32"/>
          <w:szCs w:val="32"/>
        </w:rPr>
        <w:t xml:space="preserve">  投 标 人 须 知</w:t>
      </w:r>
      <w:bookmarkEnd w:id="1"/>
      <w:bookmarkEnd w:id="2"/>
    </w:p>
    <w:p>
      <w:pPr>
        <w:jc w:val="center"/>
      </w:pPr>
      <w:r>
        <w:rPr>
          <w:rFonts w:hint="eastAsia" w:hAnsi="宋体"/>
          <w:bCs/>
          <w:sz w:val="32"/>
          <w:szCs w:val="32"/>
        </w:rPr>
        <w:t>前附表</w:t>
      </w:r>
    </w:p>
    <w:tbl>
      <w:tblPr>
        <w:tblStyle w:val="4"/>
        <w:tblW w:w="10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2021"/>
        <w:gridCol w:w="7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45" w:type="dxa"/>
            <w:vAlign w:val="center"/>
          </w:tcPr>
          <w:p>
            <w:pPr>
              <w:jc w:val="center"/>
              <w:rPr>
                <w:rFonts w:ascii="宋体" w:hAnsi="宋体" w:cs="宋体"/>
                <w:sz w:val="24"/>
              </w:rPr>
            </w:pPr>
            <w:r>
              <w:rPr>
                <w:rFonts w:hint="eastAsia" w:ascii="宋体" w:hAnsi="宋体" w:cs="宋体"/>
                <w:sz w:val="24"/>
              </w:rPr>
              <w:t>序号</w:t>
            </w:r>
          </w:p>
        </w:tc>
        <w:tc>
          <w:tcPr>
            <w:tcW w:w="2021" w:type="dxa"/>
            <w:vAlign w:val="center"/>
          </w:tcPr>
          <w:p>
            <w:pPr>
              <w:jc w:val="center"/>
              <w:rPr>
                <w:rFonts w:ascii="宋体" w:hAnsi="宋体" w:cs="宋体"/>
                <w:sz w:val="24"/>
              </w:rPr>
            </w:pPr>
            <w:r>
              <w:rPr>
                <w:rFonts w:hint="eastAsia" w:ascii="宋体" w:hAnsi="宋体" w:cs="宋体"/>
                <w:sz w:val="24"/>
              </w:rPr>
              <w:t>内容</w:t>
            </w:r>
          </w:p>
        </w:tc>
        <w:tc>
          <w:tcPr>
            <w:tcW w:w="7690" w:type="dxa"/>
            <w:vAlign w:val="center"/>
          </w:tcPr>
          <w:p>
            <w:pPr>
              <w:jc w:val="center"/>
              <w:rPr>
                <w:rFonts w:ascii="宋体" w:hAnsi="宋体" w:cs="宋体"/>
                <w:sz w:val="24"/>
                <w:szCs w:val="20"/>
              </w:rPr>
            </w:pPr>
            <w:r>
              <w:rPr>
                <w:rFonts w:hint="eastAsia" w:ascii="宋体" w:hAnsi="宋体" w:cs="宋体"/>
                <w:sz w:val="24"/>
                <w:szCs w:val="20"/>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exact"/>
        </w:trPr>
        <w:tc>
          <w:tcPr>
            <w:tcW w:w="745" w:type="dxa"/>
            <w:vAlign w:val="center"/>
          </w:tcPr>
          <w:p>
            <w:pPr>
              <w:jc w:val="center"/>
              <w:rPr>
                <w:rFonts w:ascii="宋体" w:hAnsi="宋体" w:cs="宋体"/>
                <w:bCs/>
                <w:sz w:val="24"/>
                <w:szCs w:val="20"/>
              </w:rPr>
            </w:pPr>
            <w:r>
              <w:rPr>
                <w:rFonts w:hint="eastAsia" w:ascii="宋体" w:hAnsi="宋体" w:cs="宋体"/>
                <w:bCs/>
                <w:sz w:val="24"/>
                <w:szCs w:val="20"/>
              </w:rPr>
              <w:t>1</w:t>
            </w:r>
          </w:p>
        </w:tc>
        <w:tc>
          <w:tcPr>
            <w:tcW w:w="2021" w:type="dxa"/>
            <w:vAlign w:val="center"/>
          </w:tcPr>
          <w:p>
            <w:pPr>
              <w:jc w:val="center"/>
              <w:rPr>
                <w:rFonts w:ascii="宋体" w:hAnsi="宋体" w:cs="宋体"/>
                <w:bCs/>
                <w:sz w:val="24"/>
              </w:rPr>
            </w:pPr>
            <w:r>
              <w:rPr>
                <w:rFonts w:hint="eastAsia" w:ascii="宋体" w:hAnsi="宋体" w:cs="宋体"/>
                <w:bCs/>
                <w:sz w:val="24"/>
              </w:rPr>
              <w:t>招标人</w:t>
            </w:r>
          </w:p>
        </w:tc>
        <w:tc>
          <w:tcPr>
            <w:tcW w:w="7690" w:type="dxa"/>
            <w:vAlign w:val="center"/>
          </w:tcPr>
          <w:p>
            <w:pPr>
              <w:rPr>
                <w:rFonts w:ascii="宋体" w:hAnsi="宋体" w:cs="宋体"/>
                <w:szCs w:val="21"/>
              </w:rPr>
            </w:pPr>
            <w:r>
              <w:rPr>
                <w:rFonts w:hint="eastAsia" w:ascii="宋体" w:hAnsi="宋体" w:cs="宋体"/>
                <w:kern w:val="0"/>
                <w:szCs w:val="21"/>
              </w:rPr>
              <w:t>江苏师范大学后勤集团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exact"/>
        </w:trPr>
        <w:tc>
          <w:tcPr>
            <w:tcW w:w="745" w:type="dxa"/>
            <w:vAlign w:val="center"/>
          </w:tcPr>
          <w:p>
            <w:pPr>
              <w:jc w:val="center"/>
              <w:rPr>
                <w:rFonts w:ascii="宋体" w:hAnsi="宋体" w:cs="宋体"/>
                <w:bCs/>
                <w:sz w:val="24"/>
              </w:rPr>
            </w:pPr>
            <w:r>
              <w:rPr>
                <w:rFonts w:hint="eastAsia" w:ascii="宋体" w:hAnsi="宋体" w:cs="宋体"/>
                <w:bCs/>
                <w:sz w:val="24"/>
              </w:rPr>
              <w:t>2</w:t>
            </w:r>
          </w:p>
        </w:tc>
        <w:tc>
          <w:tcPr>
            <w:tcW w:w="2021" w:type="dxa"/>
            <w:vAlign w:val="center"/>
          </w:tcPr>
          <w:p>
            <w:pPr>
              <w:jc w:val="center"/>
              <w:rPr>
                <w:rFonts w:ascii="宋体" w:hAnsi="宋体" w:cs="宋体"/>
                <w:sz w:val="24"/>
              </w:rPr>
            </w:pPr>
            <w:r>
              <w:rPr>
                <w:rFonts w:hint="eastAsia" w:ascii="宋体" w:hAnsi="宋体" w:cs="宋体"/>
                <w:sz w:val="24"/>
              </w:rPr>
              <w:t>项目名称</w:t>
            </w:r>
          </w:p>
        </w:tc>
        <w:tc>
          <w:tcPr>
            <w:tcW w:w="7690" w:type="dxa"/>
            <w:vAlign w:val="center"/>
          </w:tcPr>
          <w:p>
            <w:pPr>
              <w:rPr>
                <w:rFonts w:ascii="宋体" w:hAnsi="宋体" w:cs="宋体"/>
                <w:kern w:val="0"/>
                <w:szCs w:val="21"/>
              </w:rPr>
            </w:pPr>
            <w:r>
              <w:rPr>
                <w:rFonts w:hint="eastAsia" w:ascii="宋体" w:hAnsi="宋体" w:cs="宋体"/>
                <w:kern w:val="0"/>
                <w:szCs w:val="21"/>
              </w:rPr>
              <w:t>江苏师范大学泉山校区</w:t>
            </w:r>
            <w:r>
              <w:rPr>
                <w:rFonts w:hint="eastAsia" w:ascii="宋体" w:hAnsi="宋体" w:cs="宋体"/>
                <w:kern w:val="0"/>
                <w:szCs w:val="21"/>
                <w:lang w:val="en-US" w:eastAsia="zh-CN"/>
              </w:rPr>
              <w:t>学生</w:t>
            </w:r>
            <w:r>
              <w:rPr>
                <w:rFonts w:hint="eastAsia" w:ascii="宋体" w:hAnsi="宋体" w:cs="宋体"/>
                <w:kern w:val="0"/>
                <w:szCs w:val="21"/>
              </w:rPr>
              <w:t>一食堂承包经营服务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9" w:hRule="atLeast"/>
        </w:trPr>
        <w:tc>
          <w:tcPr>
            <w:tcW w:w="745" w:type="dxa"/>
            <w:vAlign w:val="center"/>
          </w:tcPr>
          <w:p>
            <w:pPr>
              <w:ind w:right="102"/>
              <w:jc w:val="center"/>
              <w:rPr>
                <w:rFonts w:ascii="宋体" w:hAnsi="宋体" w:cs="宋体"/>
                <w:sz w:val="24"/>
                <w:lang w:val="zh-CN"/>
              </w:rPr>
            </w:pPr>
            <w:r>
              <w:rPr>
                <w:rFonts w:hint="eastAsia" w:ascii="宋体" w:hAnsi="宋体" w:cs="宋体"/>
                <w:sz w:val="24"/>
                <w:lang w:val="zh-CN"/>
              </w:rPr>
              <w:t>3</w:t>
            </w:r>
          </w:p>
        </w:tc>
        <w:tc>
          <w:tcPr>
            <w:tcW w:w="2021" w:type="dxa"/>
            <w:vAlign w:val="center"/>
          </w:tcPr>
          <w:p>
            <w:pPr>
              <w:jc w:val="center"/>
              <w:rPr>
                <w:rFonts w:ascii="宋体" w:hAnsi="宋体" w:cs="宋体"/>
                <w:sz w:val="24"/>
              </w:rPr>
            </w:pPr>
            <w:r>
              <w:rPr>
                <w:rFonts w:hint="eastAsia" w:ascii="宋体" w:hAnsi="宋体" w:cs="宋体"/>
                <w:sz w:val="24"/>
                <w:lang w:val="zh-CN"/>
              </w:rPr>
              <w:t>投标资格要求</w:t>
            </w:r>
          </w:p>
        </w:tc>
        <w:tc>
          <w:tcPr>
            <w:tcW w:w="7690" w:type="dxa"/>
            <w:vAlign w:val="center"/>
          </w:tcPr>
          <w:p>
            <w:pPr>
              <w:spacing w:line="280" w:lineRule="exact"/>
              <w:rPr>
                <w:rFonts w:ascii="宋体" w:hAnsi="宋体" w:cs="宋体"/>
                <w:szCs w:val="21"/>
              </w:rPr>
            </w:pPr>
            <w:r>
              <w:rPr>
                <w:rFonts w:hint="eastAsia" w:ascii="宋体" w:hAnsi="宋体" w:cs="宋体"/>
                <w:szCs w:val="21"/>
              </w:rPr>
              <w:t>1.</w:t>
            </w:r>
            <w:r>
              <w:rPr>
                <w:rFonts w:hint="eastAsia" w:ascii="宋体" w:hAnsi="宋体" w:cs="宋体"/>
                <w:szCs w:val="21"/>
                <w:lang w:val="zh-CN"/>
              </w:rPr>
              <w:t>企业具有独立法人资格，持有国家规定的从事餐饮服务的</w:t>
            </w:r>
            <w:r>
              <w:rPr>
                <w:rFonts w:hint="eastAsia" w:ascii="宋体" w:hAnsi="宋体" w:cs="宋体"/>
                <w:szCs w:val="21"/>
              </w:rPr>
              <w:t>相关证照。</w:t>
            </w:r>
          </w:p>
          <w:p>
            <w:pPr>
              <w:spacing w:line="280" w:lineRule="exact"/>
              <w:rPr>
                <w:rFonts w:ascii="宋体" w:hAnsi="宋体" w:cs="宋体"/>
                <w:szCs w:val="21"/>
                <w:highlight w:val="yellow"/>
                <w:lang w:val="zh-CN"/>
              </w:rPr>
            </w:pPr>
            <w:r>
              <w:rPr>
                <w:rFonts w:hint="eastAsia" w:ascii="宋体" w:hAnsi="宋体" w:cs="宋体"/>
                <w:szCs w:val="21"/>
                <w:lang w:val="zh-CN"/>
              </w:rPr>
              <w:t>2.企业营业执照、组织机构代码证、企业税务登记证三证齐全并处于有效期。</w:t>
            </w:r>
          </w:p>
          <w:p>
            <w:pPr>
              <w:spacing w:line="280" w:lineRule="exact"/>
              <w:rPr>
                <w:rFonts w:ascii="宋体" w:hAnsi="宋体" w:cs="宋体"/>
                <w:szCs w:val="21"/>
                <w:lang w:val="zh-CN"/>
              </w:rPr>
            </w:pPr>
            <w:r>
              <w:rPr>
                <w:rFonts w:hint="eastAsia" w:ascii="宋体" w:hAnsi="宋体" w:cs="宋体"/>
                <w:szCs w:val="21"/>
                <w:lang w:val="zh-CN"/>
              </w:rPr>
              <w:t>3</w:t>
            </w:r>
            <w:r>
              <w:rPr>
                <w:rFonts w:ascii="宋体" w:hAnsi="宋体" w:cs="宋体"/>
                <w:szCs w:val="21"/>
                <w:lang w:val="zh-CN"/>
              </w:rPr>
              <w:t>.</w:t>
            </w:r>
            <w:r>
              <w:rPr>
                <w:rFonts w:hint="eastAsia" w:ascii="宋体" w:hAnsi="宋体" w:cs="宋体"/>
                <w:szCs w:val="21"/>
                <w:lang w:val="zh-CN"/>
              </w:rPr>
              <w:t>具有食品经营许可证。</w:t>
            </w:r>
          </w:p>
          <w:p>
            <w:pPr>
              <w:spacing w:line="280" w:lineRule="exact"/>
              <w:rPr>
                <w:rFonts w:ascii="宋体" w:hAnsi="宋体" w:cs="宋体"/>
                <w:szCs w:val="21"/>
                <w:lang w:val="zh-CN"/>
              </w:rPr>
            </w:pPr>
            <w:r>
              <w:rPr>
                <w:rFonts w:ascii="宋体" w:hAnsi="宋体" w:cs="宋体"/>
                <w:szCs w:val="21"/>
                <w:lang w:val="zh-CN"/>
              </w:rPr>
              <w:t>4</w:t>
            </w:r>
            <w:r>
              <w:rPr>
                <w:rFonts w:hint="eastAsia" w:ascii="宋体" w:hAnsi="宋体" w:cs="宋体"/>
                <w:szCs w:val="21"/>
                <w:lang w:val="zh-CN"/>
              </w:rPr>
              <w:t>.企业具有三年以上高等学校餐饮服务经历，或五年以上社会团体餐饮服务经历，经营的团体餐饮单位被所在地区的食品药品监督管理部门评定为食品安全量化分级管理 B 级（含）以上或 B 二星级（含）以上。</w:t>
            </w:r>
          </w:p>
          <w:p>
            <w:pPr>
              <w:spacing w:line="280" w:lineRule="exact"/>
              <w:rPr>
                <w:rFonts w:ascii="宋体" w:hAnsi="宋体" w:cs="宋体"/>
                <w:szCs w:val="21"/>
                <w:lang w:val="zh-CN"/>
              </w:rPr>
            </w:pPr>
            <w:r>
              <w:rPr>
                <w:rFonts w:hint="eastAsia" w:ascii="宋体" w:hAnsi="宋体" w:cs="宋体"/>
                <w:szCs w:val="21"/>
              </w:rPr>
              <w:t>5.企业</w:t>
            </w:r>
            <w:r>
              <w:rPr>
                <w:rFonts w:hint="eastAsia" w:ascii="宋体" w:hAnsi="宋体" w:cs="宋体"/>
                <w:szCs w:val="21"/>
                <w:lang w:val="zh-CN"/>
              </w:rPr>
              <w:t>有良好的商业信誉和</w:t>
            </w:r>
            <w:r>
              <w:rPr>
                <w:rFonts w:hint="eastAsia" w:ascii="宋体" w:hAnsi="宋体" w:cs="宋体"/>
                <w:szCs w:val="21"/>
              </w:rPr>
              <w:t>相应资金作保障</w:t>
            </w:r>
            <w:r>
              <w:rPr>
                <w:rFonts w:hint="eastAsia" w:ascii="宋体" w:hAnsi="宋体" w:cs="宋体"/>
                <w:szCs w:val="21"/>
                <w:lang w:val="zh-CN"/>
              </w:rPr>
              <w:t>，投标时提供银行资信证明，纳税证明和社保缴纳证明。</w:t>
            </w:r>
          </w:p>
          <w:p>
            <w:pPr>
              <w:spacing w:line="280" w:lineRule="exact"/>
              <w:rPr>
                <w:rFonts w:ascii="宋体" w:hAnsi="宋体" w:cs="宋体"/>
                <w:szCs w:val="21"/>
              </w:rPr>
            </w:pPr>
            <w:r>
              <w:rPr>
                <w:rFonts w:hint="eastAsia" w:ascii="宋体" w:hAnsi="宋体" w:cs="宋体"/>
                <w:szCs w:val="21"/>
              </w:rPr>
              <w:t>6.</w:t>
            </w:r>
            <w:r>
              <w:rPr>
                <w:rFonts w:hint="eastAsia" w:ascii="宋体" w:hAnsi="宋体" w:cs="宋体"/>
                <w:szCs w:val="21"/>
                <w:lang w:val="zh-CN"/>
              </w:rPr>
              <w:t>企业近三年内无不良信用、无食品安全或学生罢餐及其他较大责任事故记录。</w:t>
            </w:r>
          </w:p>
          <w:p>
            <w:pPr>
              <w:spacing w:line="280" w:lineRule="exact"/>
              <w:rPr>
                <w:rFonts w:ascii="宋体" w:hAnsi="宋体" w:cs="宋体"/>
                <w:szCs w:val="21"/>
                <w:lang w:val="zh-CN"/>
              </w:rPr>
            </w:pPr>
            <w:r>
              <w:rPr>
                <w:rFonts w:hint="eastAsia" w:ascii="宋体" w:hAnsi="宋体" w:cs="宋体"/>
                <w:szCs w:val="21"/>
              </w:rPr>
              <w:t>7.</w:t>
            </w:r>
            <w:r>
              <w:rPr>
                <w:rFonts w:hint="eastAsia" w:ascii="宋体" w:hAnsi="宋体" w:cs="宋体"/>
                <w:szCs w:val="21"/>
                <w:lang w:val="zh-CN"/>
              </w:rPr>
              <w:t>投标企业应具备完善的管理制度和丰富的餐饮管理经验，诚信度高，安全意识强，管理团队稳定，投标时</w:t>
            </w:r>
            <w:r>
              <w:rPr>
                <w:rFonts w:hint="eastAsia" w:ascii="宋体" w:hAnsi="宋体" w:cs="宋体"/>
                <w:szCs w:val="21"/>
              </w:rPr>
              <w:t>提供拟投入本项目的</w:t>
            </w:r>
            <w:r>
              <w:rPr>
                <w:rFonts w:hint="eastAsia" w:ascii="宋体" w:hAnsi="宋体" w:cs="宋体"/>
                <w:szCs w:val="21"/>
                <w:lang w:val="zh-CN"/>
              </w:rPr>
              <w:t>从业人员健康证。</w:t>
            </w:r>
          </w:p>
          <w:p>
            <w:pPr>
              <w:spacing w:line="280" w:lineRule="exact"/>
              <w:rPr>
                <w:rFonts w:ascii="宋体" w:hAnsi="宋体" w:cs="宋体"/>
                <w:szCs w:val="21"/>
                <w:u w:val="single"/>
                <w:lang w:val="zh-CN"/>
              </w:rPr>
            </w:pPr>
            <w:r>
              <w:rPr>
                <w:rFonts w:hint="eastAsia" w:ascii="宋体" w:hAnsi="宋体" w:cs="宋体"/>
                <w:szCs w:val="21"/>
              </w:rPr>
              <w:t>8</w:t>
            </w:r>
            <w:r>
              <w:rPr>
                <w:rFonts w:hint="eastAsia" w:ascii="宋体" w:hAnsi="宋体" w:cs="宋体"/>
                <w:szCs w:val="21"/>
                <w:lang w:val="zh-CN"/>
              </w:rPr>
              <w:t>.不接受自然人或联合体投标。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45" w:type="dxa"/>
            <w:vAlign w:val="center"/>
          </w:tcPr>
          <w:p>
            <w:pPr>
              <w:ind w:right="102"/>
              <w:jc w:val="center"/>
              <w:rPr>
                <w:rFonts w:ascii="宋体" w:hAnsi="宋体" w:cs="宋体"/>
                <w:sz w:val="24"/>
                <w:lang w:val="zh-CN"/>
              </w:rPr>
            </w:pPr>
            <w:r>
              <w:rPr>
                <w:rFonts w:hint="eastAsia" w:ascii="宋体" w:hAnsi="宋体" w:cs="宋体"/>
                <w:sz w:val="24"/>
                <w:lang w:val="zh-CN"/>
              </w:rPr>
              <w:t>4</w:t>
            </w:r>
          </w:p>
        </w:tc>
        <w:tc>
          <w:tcPr>
            <w:tcW w:w="2021" w:type="dxa"/>
            <w:vAlign w:val="center"/>
          </w:tcPr>
          <w:p>
            <w:pPr>
              <w:jc w:val="center"/>
              <w:rPr>
                <w:rFonts w:ascii="宋体" w:hAnsi="宋体" w:cs="宋体"/>
                <w:sz w:val="24"/>
                <w:lang w:val="zh-CN"/>
              </w:rPr>
            </w:pPr>
            <w:r>
              <w:rPr>
                <w:rFonts w:hint="eastAsia" w:ascii="宋体" w:hAnsi="宋体" w:cs="宋体"/>
                <w:sz w:val="24"/>
              </w:rPr>
              <w:t>经营服务期限</w:t>
            </w:r>
          </w:p>
        </w:tc>
        <w:tc>
          <w:tcPr>
            <w:tcW w:w="7690" w:type="dxa"/>
            <w:vAlign w:val="center"/>
          </w:tcPr>
          <w:p>
            <w:pPr>
              <w:widowControl/>
              <w:snapToGrid w:val="0"/>
              <w:jc w:val="left"/>
              <w:rPr>
                <w:rFonts w:ascii="宋体" w:hAnsi="宋体" w:cs="宋体"/>
                <w:szCs w:val="21"/>
                <w:lang w:val="zh-CN"/>
              </w:rPr>
            </w:pPr>
            <w:r>
              <w:rPr>
                <w:rFonts w:hint="eastAsia" w:ascii="宋体" w:hAnsi="宋体" w:cs="宋体"/>
                <w:szCs w:val="21"/>
                <w:lang w:val="zh-CN"/>
              </w:rPr>
              <w:t>五个学年，自2019年暑假结束前一天，至2024年暑假开始前一天。采取“2 + 3”模式，分两个阶段。即首签合同期限为两学年（自2019年暑假结束前一天，至2021年暑假开始前一天），续签合同期限为三学年。首签期满后，无违法、违规、违约和安全责任事故的，方可继续履行后三个学年合同，否则合同予以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45" w:type="dxa"/>
            <w:vAlign w:val="center"/>
          </w:tcPr>
          <w:p>
            <w:pPr>
              <w:jc w:val="center"/>
              <w:rPr>
                <w:rFonts w:ascii="宋体" w:hAnsi="宋体" w:cs="宋体"/>
                <w:sz w:val="24"/>
              </w:rPr>
            </w:pPr>
            <w:r>
              <w:rPr>
                <w:rFonts w:hint="eastAsia" w:ascii="宋体" w:hAnsi="宋体" w:cs="宋体"/>
                <w:sz w:val="24"/>
              </w:rPr>
              <w:t>5</w:t>
            </w:r>
          </w:p>
        </w:tc>
        <w:tc>
          <w:tcPr>
            <w:tcW w:w="2021" w:type="dxa"/>
            <w:vAlign w:val="center"/>
          </w:tcPr>
          <w:p>
            <w:pPr>
              <w:jc w:val="center"/>
              <w:rPr>
                <w:rFonts w:ascii="宋体" w:hAnsi="宋体" w:cs="宋体"/>
                <w:sz w:val="24"/>
              </w:rPr>
            </w:pPr>
            <w:r>
              <w:rPr>
                <w:rFonts w:hint="eastAsia" w:ascii="宋体" w:hAnsi="宋体" w:cs="宋体"/>
                <w:sz w:val="24"/>
                <w:lang w:val="zh-CN"/>
              </w:rPr>
              <w:t>付款方式</w:t>
            </w:r>
          </w:p>
        </w:tc>
        <w:tc>
          <w:tcPr>
            <w:tcW w:w="7690" w:type="dxa"/>
            <w:vAlign w:val="center"/>
          </w:tcPr>
          <w:p>
            <w:pPr>
              <w:rPr>
                <w:rFonts w:ascii="宋体" w:hAnsi="宋体" w:cs="宋体"/>
                <w:szCs w:val="21"/>
                <w:lang w:val="zh-CN"/>
              </w:rPr>
            </w:pPr>
            <w:r>
              <w:rPr>
                <w:rFonts w:hint="eastAsia" w:ascii="宋体" w:hAnsi="宋体" w:cs="宋体"/>
                <w:szCs w:val="21"/>
                <w:lang w:val="zh-CN"/>
              </w:rPr>
              <w:t>付款方式：每月由后勤集团财务部从当月营业收入中按照《招标文件》中规定的采购保管费提取比例进行提取。在提取当月采购保管费和应扣除的相关费用后，剩余费用于次月20日左右返还到投标企业的账户（或投标企业指定的账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45" w:type="dxa"/>
            <w:vAlign w:val="center"/>
          </w:tcPr>
          <w:p>
            <w:pPr>
              <w:jc w:val="center"/>
              <w:rPr>
                <w:rFonts w:ascii="宋体" w:hAnsi="宋体" w:cs="宋体"/>
                <w:sz w:val="24"/>
              </w:rPr>
            </w:pPr>
            <w:r>
              <w:rPr>
                <w:rFonts w:hint="eastAsia" w:ascii="宋体" w:hAnsi="宋体" w:cs="宋体"/>
                <w:sz w:val="24"/>
              </w:rPr>
              <w:t>6</w:t>
            </w:r>
          </w:p>
        </w:tc>
        <w:tc>
          <w:tcPr>
            <w:tcW w:w="2021" w:type="dxa"/>
            <w:vAlign w:val="center"/>
          </w:tcPr>
          <w:p>
            <w:pPr>
              <w:jc w:val="center"/>
              <w:rPr>
                <w:rFonts w:ascii="宋体" w:hAnsi="宋体" w:cs="宋体"/>
                <w:kern w:val="0"/>
                <w:sz w:val="24"/>
                <w:szCs w:val="20"/>
                <w:lang w:val="zh-CN"/>
              </w:rPr>
            </w:pPr>
            <w:r>
              <w:rPr>
                <w:rFonts w:hint="eastAsia" w:ascii="宋体" w:hAnsi="宋体" w:cs="宋体"/>
                <w:sz w:val="24"/>
                <w:szCs w:val="20"/>
              </w:rPr>
              <w:t>投标保证金及标书费</w:t>
            </w:r>
          </w:p>
        </w:tc>
        <w:tc>
          <w:tcPr>
            <w:tcW w:w="7690" w:type="dxa"/>
            <w:vAlign w:val="center"/>
          </w:tcPr>
          <w:p>
            <w:pPr>
              <w:rPr>
                <w:rFonts w:ascii="宋体" w:hAnsi="宋体" w:cs="宋体"/>
                <w:szCs w:val="21"/>
              </w:rPr>
            </w:pPr>
            <w:r>
              <w:rPr>
                <w:rFonts w:hint="eastAsia" w:ascii="宋体" w:hAnsi="宋体" w:cs="宋体"/>
                <w:szCs w:val="21"/>
              </w:rPr>
              <w:t>1.投标保证金：伍仟元，缴纳方式：现金（装入信封并密封，然后齐缝盖上公章，签订合同后等额无息退还）。</w:t>
            </w:r>
          </w:p>
          <w:p>
            <w:pPr>
              <w:rPr>
                <w:rFonts w:ascii="宋体" w:hAnsi="宋体" w:cs="宋体"/>
                <w:szCs w:val="21"/>
              </w:rPr>
            </w:pPr>
            <w:r>
              <w:rPr>
                <w:rFonts w:hint="eastAsia" w:ascii="宋体" w:hAnsi="宋体" w:cs="宋体"/>
                <w:szCs w:val="21"/>
              </w:rPr>
              <w:t>2.标书费：600元，现金缴纳。</w:t>
            </w:r>
          </w:p>
          <w:p>
            <w:pPr>
              <w:rPr>
                <w:rFonts w:ascii="宋体" w:hAnsi="宋体" w:cs="宋体"/>
                <w:szCs w:val="21"/>
              </w:rPr>
            </w:pPr>
            <w:r>
              <w:rPr>
                <w:rFonts w:hint="eastAsia" w:ascii="宋体" w:hAnsi="宋体" w:cs="宋体"/>
                <w:szCs w:val="21"/>
              </w:rPr>
              <w:t>缴纳时间：递交投标文件时缴纳。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5" w:hRule="atLeast"/>
        </w:trPr>
        <w:tc>
          <w:tcPr>
            <w:tcW w:w="745" w:type="dxa"/>
            <w:vAlign w:val="center"/>
          </w:tcPr>
          <w:p>
            <w:pPr>
              <w:jc w:val="center"/>
              <w:rPr>
                <w:rFonts w:ascii="宋体" w:hAnsi="宋体" w:cs="宋体"/>
                <w:sz w:val="24"/>
              </w:rPr>
            </w:pPr>
            <w:r>
              <w:rPr>
                <w:rFonts w:hint="eastAsia" w:ascii="宋体" w:hAnsi="宋体" w:cs="宋体"/>
                <w:sz w:val="24"/>
              </w:rPr>
              <w:t>7</w:t>
            </w:r>
          </w:p>
        </w:tc>
        <w:tc>
          <w:tcPr>
            <w:tcW w:w="2021" w:type="dxa"/>
            <w:vAlign w:val="center"/>
          </w:tcPr>
          <w:p>
            <w:pPr>
              <w:jc w:val="center"/>
              <w:rPr>
                <w:rFonts w:ascii="宋体" w:hAnsi="宋体" w:cs="宋体"/>
                <w:sz w:val="24"/>
                <w:szCs w:val="20"/>
              </w:rPr>
            </w:pPr>
            <w:r>
              <w:rPr>
                <w:rFonts w:hint="eastAsia" w:ascii="宋体" w:hAnsi="宋体" w:cs="宋体"/>
                <w:sz w:val="24"/>
                <w:szCs w:val="20"/>
              </w:rPr>
              <w:t>投标时需携带</w:t>
            </w:r>
          </w:p>
          <w:p>
            <w:pPr>
              <w:jc w:val="center"/>
              <w:rPr>
                <w:rFonts w:ascii="宋体" w:hAnsi="宋体" w:cs="宋体"/>
                <w:sz w:val="24"/>
                <w:szCs w:val="20"/>
                <w:lang w:val="zh-CN"/>
              </w:rPr>
            </w:pPr>
            <w:r>
              <w:rPr>
                <w:rFonts w:hint="eastAsia" w:ascii="宋体" w:hAnsi="宋体" w:cs="宋体"/>
                <w:sz w:val="24"/>
                <w:szCs w:val="20"/>
              </w:rPr>
              <w:t>证件原件</w:t>
            </w:r>
          </w:p>
        </w:tc>
        <w:tc>
          <w:tcPr>
            <w:tcW w:w="7690" w:type="dxa"/>
            <w:vAlign w:val="center"/>
          </w:tcPr>
          <w:p>
            <w:pPr>
              <w:rPr>
                <w:rFonts w:ascii="宋体" w:hAnsi="宋体" w:cs="宋体"/>
                <w:szCs w:val="21"/>
              </w:rPr>
            </w:pPr>
            <w:r>
              <w:rPr>
                <w:rFonts w:hint="eastAsia" w:ascii="宋体" w:hAnsi="宋体" w:cs="宋体"/>
                <w:szCs w:val="21"/>
              </w:rPr>
              <w:t>投标人投标时须提交以下有效文件原件供查验（在标书外单独封装）：</w:t>
            </w:r>
          </w:p>
          <w:p>
            <w:pPr>
              <w:rPr>
                <w:rFonts w:ascii="宋体" w:hAnsi="宋体" w:cs="宋体"/>
                <w:szCs w:val="21"/>
              </w:rPr>
            </w:pPr>
            <w:r>
              <w:rPr>
                <w:rFonts w:hint="eastAsia" w:ascii="宋体" w:hAnsi="宋体" w:cs="宋体"/>
                <w:szCs w:val="21"/>
              </w:rPr>
              <w:t>1.法定代表人授权委托书及授权委托代理人身份证。</w:t>
            </w:r>
          </w:p>
          <w:p>
            <w:pPr>
              <w:rPr>
                <w:rFonts w:ascii="宋体" w:hAnsi="宋体" w:cs="宋体"/>
                <w:szCs w:val="21"/>
              </w:rPr>
            </w:pPr>
            <w:r>
              <w:rPr>
                <w:rFonts w:hint="eastAsia" w:ascii="宋体" w:hAnsi="宋体" w:cs="宋体"/>
                <w:szCs w:val="21"/>
              </w:rPr>
              <w:t>2.企业法人营业执照、组织机构代码证、企业税务登记证、（或三证合一）、</w:t>
            </w:r>
            <w:r>
              <w:rPr>
                <w:rFonts w:hint="eastAsia" w:ascii="宋体" w:hAnsi="宋体" w:cs="宋体"/>
                <w:szCs w:val="21"/>
                <w:lang w:val="zh-CN"/>
              </w:rPr>
              <w:t>食品经营许可证</w:t>
            </w:r>
            <w:r>
              <w:rPr>
                <w:rFonts w:hint="eastAsia" w:ascii="宋体" w:hAnsi="宋体" w:cs="宋体"/>
                <w:szCs w:val="21"/>
              </w:rPr>
              <w:t>。</w:t>
            </w:r>
          </w:p>
          <w:p>
            <w:pPr>
              <w:rPr>
                <w:rFonts w:ascii="宋体" w:hAnsi="宋体" w:cs="宋体"/>
                <w:szCs w:val="21"/>
              </w:rPr>
            </w:pPr>
            <w:r>
              <w:rPr>
                <w:rFonts w:hint="eastAsia" w:ascii="宋体" w:hAnsi="宋体" w:cs="宋体"/>
                <w:szCs w:val="21"/>
              </w:rPr>
              <w:t>3.投标公司所在地社保基金征缴机构出具的为其授权委托代理人或拟任项目负责人缴纳的最近6个月社保证明或提供官网截图加盖投标人公章。</w:t>
            </w:r>
          </w:p>
          <w:p>
            <w:pPr>
              <w:rPr>
                <w:rFonts w:ascii="宋体" w:hAnsi="宋体" w:cs="宋体"/>
                <w:szCs w:val="21"/>
                <w:lang w:val="zh-CN"/>
              </w:rPr>
            </w:pPr>
            <w:r>
              <w:rPr>
                <w:rFonts w:hint="eastAsia" w:ascii="宋体" w:hAnsi="宋体" w:cs="宋体"/>
                <w:szCs w:val="21"/>
              </w:rPr>
              <w:t>4.</w:t>
            </w:r>
            <w:r>
              <w:rPr>
                <w:rFonts w:hint="eastAsia" w:ascii="宋体" w:hAnsi="宋体" w:cs="宋体"/>
                <w:szCs w:val="21"/>
                <w:lang w:val="zh-CN"/>
              </w:rPr>
              <w:t>投标人的银行资信证明。</w:t>
            </w:r>
          </w:p>
          <w:p>
            <w:pPr>
              <w:rPr>
                <w:rFonts w:ascii="宋体" w:hAnsi="宋体" w:cs="宋体"/>
                <w:szCs w:val="21"/>
              </w:rPr>
            </w:pPr>
            <w:r>
              <w:rPr>
                <w:rFonts w:hint="eastAsia" w:ascii="宋体" w:hAnsi="宋体" w:cs="宋体"/>
                <w:szCs w:val="21"/>
              </w:rPr>
              <w:t>5.</w:t>
            </w:r>
            <w:r>
              <w:rPr>
                <w:rFonts w:hint="eastAsia" w:ascii="宋体" w:hAnsi="宋体" w:cs="宋体"/>
                <w:szCs w:val="21"/>
                <w:lang w:val="zh-CN"/>
              </w:rPr>
              <w:t>2016年1月1日以来的经营合同（业绩合同）。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45" w:type="dxa"/>
            <w:vAlign w:val="center"/>
          </w:tcPr>
          <w:p>
            <w:pPr>
              <w:jc w:val="center"/>
              <w:rPr>
                <w:rFonts w:ascii="宋体" w:hAnsi="宋体" w:cs="宋体"/>
                <w:sz w:val="24"/>
              </w:rPr>
            </w:pPr>
            <w:r>
              <w:rPr>
                <w:rFonts w:hint="eastAsia" w:ascii="宋体" w:hAnsi="宋体" w:cs="宋体"/>
                <w:sz w:val="24"/>
              </w:rPr>
              <w:t>8</w:t>
            </w:r>
          </w:p>
        </w:tc>
        <w:tc>
          <w:tcPr>
            <w:tcW w:w="2021" w:type="dxa"/>
            <w:vAlign w:val="center"/>
          </w:tcPr>
          <w:p>
            <w:pPr>
              <w:jc w:val="center"/>
              <w:rPr>
                <w:rFonts w:ascii="宋体" w:hAnsi="宋体" w:cs="宋体"/>
                <w:sz w:val="24"/>
              </w:rPr>
            </w:pPr>
            <w:r>
              <w:rPr>
                <w:rFonts w:hint="eastAsia" w:ascii="宋体" w:hAnsi="宋体" w:cs="宋体"/>
                <w:sz w:val="24"/>
              </w:rPr>
              <w:t>标书份数及要求</w:t>
            </w:r>
          </w:p>
        </w:tc>
        <w:tc>
          <w:tcPr>
            <w:tcW w:w="7690" w:type="dxa"/>
            <w:vAlign w:val="center"/>
          </w:tcPr>
          <w:p>
            <w:pPr>
              <w:rPr>
                <w:rFonts w:ascii="宋体" w:hAnsi="宋体" w:cs="宋体"/>
                <w:szCs w:val="21"/>
              </w:rPr>
            </w:pPr>
            <w:r>
              <w:rPr>
                <w:rFonts w:hint="eastAsia" w:ascii="宋体" w:hAnsi="宋体" w:cs="宋体"/>
                <w:szCs w:val="21"/>
              </w:rPr>
              <w:t>投标文件，须正本1份；副本6份，电子版1份（U盘）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45" w:type="dxa"/>
            <w:vAlign w:val="center"/>
          </w:tcPr>
          <w:p>
            <w:pPr>
              <w:jc w:val="center"/>
              <w:rPr>
                <w:rFonts w:ascii="宋体" w:hAnsi="宋体" w:cs="宋体"/>
                <w:sz w:val="24"/>
              </w:rPr>
            </w:pPr>
            <w:r>
              <w:rPr>
                <w:rFonts w:hint="eastAsia" w:ascii="宋体" w:hAnsi="宋体" w:cs="宋体"/>
                <w:sz w:val="24"/>
              </w:rPr>
              <w:t>9</w:t>
            </w:r>
          </w:p>
        </w:tc>
        <w:tc>
          <w:tcPr>
            <w:tcW w:w="2021" w:type="dxa"/>
            <w:vAlign w:val="center"/>
          </w:tcPr>
          <w:p>
            <w:pPr>
              <w:jc w:val="center"/>
              <w:rPr>
                <w:rFonts w:ascii="宋体" w:hAnsi="宋体" w:cs="宋体"/>
                <w:sz w:val="24"/>
              </w:rPr>
            </w:pPr>
            <w:r>
              <w:rPr>
                <w:rFonts w:hint="eastAsia" w:ascii="宋体" w:hAnsi="宋体" w:cs="宋体"/>
                <w:sz w:val="24"/>
              </w:rPr>
              <w:t>递交时间及地点</w:t>
            </w:r>
          </w:p>
        </w:tc>
        <w:tc>
          <w:tcPr>
            <w:tcW w:w="7690" w:type="dxa"/>
            <w:vAlign w:val="center"/>
          </w:tcPr>
          <w:p>
            <w:pPr>
              <w:rPr>
                <w:rFonts w:ascii="宋体" w:hAnsi="宋体" w:cs="宋体"/>
                <w:szCs w:val="21"/>
              </w:rPr>
            </w:pPr>
            <w:r>
              <w:rPr>
                <w:rFonts w:hint="eastAsia" w:ascii="宋体" w:hAnsi="宋体" w:cs="宋体"/>
                <w:szCs w:val="21"/>
              </w:rPr>
              <w:t xml:space="preserve">时间：2019年 </w:t>
            </w:r>
            <w:r>
              <w:rPr>
                <w:rFonts w:ascii="宋体" w:hAnsi="宋体" w:cs="宋体"/>
                <w:szCs w:val="21"/>
              </w:rPr>
              <w:t>6</w:t>
            </w:r>
            <w:r>
              <w:rPr>
                <w:rFonts w:hint="eastAsia" w:ascii="宋体" w:hAnsi="宋体" w:cs="宋体"/>
                <w:szCs w:val="21"/>
              </w:rPr>
              <w:t xml:space="preserve">月 </w:t>
            </w:r>
            <w:r>
              <w:rPr>
                <w:rFonts w:ascii="宋体" w:hAnsi="宋体" w:cs="宋体"/>
                <w:szCs w:val="21"/>
              </w:rPr>
              <w:t>4</w:t>
            </w:r>
            <w:r>
              <w:rPr>
                <w:rFonts w:hint="eastAsia" w:ascii="宋体" w:hAnsi="宋体" w:cs="宋体"/>
                <w:szCs w:val="21"/>
              </w:rPr>
              <w:t xml:space="preserve"> 日14：30--15：00。</w:t>
            </w:r>
          </w:p>
          <w:p>
            <w:pPr>
              <w:rPr>
                <w:rFonts w:hint="eastAsia" w:ascii="宋体" w:hAnsi="宋体" w:eastAsia="宋体" w:cs="宋体"/>
                <w:szCs w:val="21"/>
                <w:lang w:val="en-US" w:eastAsia="zh-CN"/>
              </w:rPr>
            </w:pPr>
            <w:r>
              <w:rPr>
                <w:rFonts w:hint="eastAsia" w:ascii="宋体" w:hAnsi="宋体" w:cs="宋体"/>
                <w:szCs w:val="21"/>
              </w:rPr>
              <w:t>地点：</w:t>
            </w:r>
            <w:r>
              <w:rPr>
                <w:rFonts w:hint="eastAsia" w:ascii="宋体" w:hAnsi="宋体" w:cs="宋体"/>
                <w:b/>
                <w:bCs/>
                <w:szCs w:val="21"/>
              </w:rPr>
              <w:t>徐州市解放路246号文峰大厦南塔楼812室</w:t>
            </w:r>
            <w:r>
              <w:rPr>
                <w:rFonts w:hint="eastAsia" w:ascii="宋体" w:hAnsi="宋体" w:cs="宋体"/>
                <w:b/>
                <w:bCs/>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45" w:type="dxa"/>
            <w:vAlign w:val="center"/>
          </w:tcPr>
          <w:p>
            <w:pPr>
              <w:jc w:val="center"/>
              <w:rPr>
                <w:rFonts w:ascii="宋体" w:hAnsi="宋体" w:cs="宋体"/>
                <w:sz w:val="24"/>
              </w:rPr>
            </w:pPr>
            <w:r>
              <w:rPr>
                <w:rFonts w:hint="eastAsia" w:ascii="宋体" w:hAnsi="宋体" w:cs="宋体"/>
                <w:sz w:val="24"/>
              </w:rPr>
              <w:t>10</w:t>
            </w:r>
          </w:p>
        </w:tc>
        <w:tc>
          <w:tcPr>
            <w:tcW w:w="2021" w:type="dxa"/>
            <w:vAlign w:val="center"/>
          </w:tcPr>
          <w:p>
            <w:pPr>
              <w:jc w:val="center"/>
              <w:rPr>
                <w:rFonts w:ascii="宋体" w:hAnsi="宋体" w:cs="宋体"/>
                <w:sz w:val="24"/>
              </w:rPr>
            </w:pPr>
            <w:r>
              <w:rPr>
                <w:rFonts w:hint="eastAsia" w:ascii="宋体" w:hAnsi="宋体" w:cs="宋体"/>
                <w:sz w:val="24"/>
              </w:rPr>
              <w:t>开标时间及地点</w:t>
            </w:r>
          </w:p>
        </w:tc>
        <w:tc>
          <w:tcPr>
            <w:tcW w:w="7690" w:type="dxa"/>
            <w:vAlign w:val="center"/>
          </w:tcPr>
          <w:p>
            <w:pPr>
              <w:rPr>
                <w:rFonts w:ascii="宋体" w:hAnsi="宋体" w:cs="宋体"/>
                <w:szCs w:val="21"/>
              </w:rPr>
            </w:pPr>
            <w:r>
              <w:rPr>
                <w:rFonts w:hint="eastAsia" w:ascii="宋体" w:hAnsi="宋体" w:cs="宋体"/>
                <w:szCs w:val="21"/>
              </w:rPr>
              <w:t xml:space="preserve">时间： 2019年 </w:t>
            </w:r>
            <w:r>
              <w:rPr>
                <w:rFonts w:ascii="宋体" w:hAnsi="宋体" w:cs="宋体"/>
                <w:szCs w:val="21"/>
              </w:rPr>
              <w:t>6</w:t>
            </w:r>
            <w:r>
              <w:rPr>
                <w:rFonts w:hint="eastAsia" w:ascii="宋体" w:hAnsi="宋体" w:cs="宋体"/>
                <w:szCs w:val="21"/>
              </w:rPr>
              <w:t xml:space="preserve"> 月 </w:t>
            </w:r>
            <w:r>
              <w:rPr>
                <w:rFonts w:ascii="宋体" w:hAnsi="宋体" w:cs="宋体"/>
                <w:szCs w:val="21"/>
              </w:rPr>
              <w:t>4</w:t>
            </w:r>
            <w:r>
              <w:rPr>
                <w:rFonts w:hint="eastAsia" w:ascii="宋体" w:hAnsi="宋体" w:cs="宋体"/>
                <w:szCs w:val="21"/>
              </w:rPr>
              <w:t xml:space="preserve"> 日15:00</w:t>
            </w:r>
          </w:p>
          <w:p>
            <w:pPr>
              <w:rPr>
                <w:rFonts w:hint="eastAsia" w:ascii="宋体" w:hAnsi="宋体" w:eastAsia="宋体" w:cs="宋体"/>
                <w:szCs w:val="21"/>
                <w:lang w:val="en-US" w:eastAsia="zh-CN"/>
              </w:rPr>
            </w:pPr>
            <w:r>
              <w:rPr>
                <w:rFonts w:hint="eastAsia" w:ascii="宋体" w:hAnsi="宋体" w:cs="宋体"/>
                <w:szCs w:val="21"/>
              </w:rPr>
              <w:t>地点：</w:t>
            </w:r>
            <w:r>
              <w:rPr>
                <w:rFonts w:hint="eastAsia" w:ascii="宋体" w:hAnsi="宋体" w:cs="宋体"/>
                <w:b/>
                <w:bCs/>
                <w:szCs w:val="21"/>
              </w:rPr>
              <w:t>徐州市解放路246号文峰大厦南塔楼81</w:t>
            </w:r>
            <w:r>
              <w:rPr>
                <w:rFonts w:hint="eastAsia" w:ascii="宋体" w:hAnsi="宋体" w:cs="宋体"/>
                <w:b/>
                <w:bCs/>
                <w:szCs w:val="21"/>
                <w:lang w:val="en-US" w:eastAsia="zh-CN"/>
              </w:rPr>
              <w:t>8</w:t>
            </w:r>
            <w:r>
              <w:rPr>
                <w:rFonts w:hint="eastAsia" w:ascii="宋体" w:hAnsi="宋体" w:cs="宋体"/>
                <w:b/>
                <w:bCs/>
                <w:szCs w:val="21"/>
              </w:rPr>
              <w:t>室</w:t>
            </w:r>
            <w:r>
              <w:rPr>
                <w:rFonts w:hint="eastAsia" w:ascii="宋体" w:hAnsi="宋体" w:cs="宋体"/>
                <w:b/>
                <w:bCs/>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45" w:type="dxa"/>
            <w:vAlign w:val="center"/>
          </w:tcPr>
          <w:p>
            <w:pPr>
              <w:jc w:val="center"/>
              <w:rPr>
                <w:rFonts w:ascii="宋体" w:hAnsi="宋体" w:cs="宋体"/>
                <w:sz w:val="24"/>
              </w:rPr>
            </w:pPr>
            <w:r>
              <w:rPr>
                <w:rFonts w:hint="eastAsia" w:ascii="宋体" w:hAnsi="宋体" w:cs="宋体"/>
                <w:sz w:val="24"/>
              </w:rPr>
              <w:t>11</w:t>
            </w:r>
          </w:p>
        </w:tc>
        <w:tc>
          <w:tcPr>
            <w:tcW w:w="2021" w:type="dxa"/>
            <w:vAlign w:val="center"/>
          </w:tcPr>
          <w:p>
            <w:pPr>
              <w:jc w:val="center"/>
              <w:rPr>
                <w:rFonts w:ascii="宋体" w:hAnsi="宋体" w:cs="宋体"/>
                <w:sz w:val="24"/>
              </w:rPr>
            </w:pPr>
            <w:r>
              <w:rPr>
                <w:rFonts w:hint="eastAsia" w:ascii="宋体" w:hAnsi="宋体" w:cs="宋体"/>
                <w:sz w:val="24"/>
              </w:rPr>
              <w:t>履约保证金</w:t>
            </w:r>
          </w:p>
        </w:tc>
        <w:tc>
          <w:tcPr>
            <w:tcW w:w="7690" w:type="dxa"/>
            <w:vAlign w:val="center"/>
          </w:tcPr>
          <w:p>
            <w:pPr>
              <w:rPr>
                <w:rFonts w:ascii="宋体" w:hAnsi="宋体" w:cs="宋体"/>
                <w:szCs w:val="21"/>
              </w:rPr>
            </w:pPr>
            <w:r>
              <w:rPr>
                <w:rFonts w:hint="eastAsia" w:ascii="宋体" w:hAnsi="宋体" w:cs="宋体"/>
                <w:szCs w:val="21"/>
              </w:rPr>
              <w:t>投标人中标后，须在签署合同前，以转帐方式向招标人交纳合同履约保证金壹拾万（合同期满后无息退还）。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trPr>
        <w:tc>
          <w:tcPr>
            <w:tcW w:w="745" w:type="dxa"/>
            <w:vAlign w:val="center"/>
          </w:tcPr>
          <w:p>
            <w:pPr>
              <w:jc w:val="center"/>
              <w:rPr>
                <w:rFonts w:ascii="宋体" w:hAnsi="宋体" w:cs="宋体"/>
                <w:sz w:val="24"/>
              </w:rPr>
            </w:pPr>
            <w:r>
              <w:rPr>
                <w:rFonts w:hint="eastAsia" w:ascii="宋体" w:hAnsi="宋体" w:cs="宋体"/>
                <w:sz w:val="24"/>
              </w:rPr>
              <w:t>12</w:t>
            </w:r>
          </w:p>
        </w:tc>
        <w:tc>
          <w:tcPr>
            <w:tcW w:w="2021" w:type="dxa"/>
            <w:vAlign w:val="center"/>
          </w:tcPr>
          <w:p>
            <w:pPr>
              <w:widowControl/>
              <w:shd w:val="clear" w:color="auto" w:fill="FFFFFF"/>
              <w:spacing w:beforeAutospacing="1" w:afterAutospacing="1" w:line="435" w:lineRule="atLeast"/>
              <w:jc w:val="left"/>
              <w:rPr>
                <w:rFonts w:ascii="宋体" w:hAnsi="宋体" w:cs="宋体"/>
                <w:kern w:val="0"/>
                <w:sz w:val="24"/>
              </w:rPr>
            </w:pPr>
            <w:r>
              <w:rPr>
                <w:rFonts w:hint="eastAsia" w:ascii="宋体" w:hAnsi="宋体" w:cs="宋体"/>
                <w:sz w:val="24"/>
              </w:rPr>
              <w:t xml:space="preserve"> 现场勘查事项</w:t>
            </w:r>
          </w:p>
        </w:tc>
        <w:tc>
          <w:tcPr>
            <w:tcW w:w="7690" w:type="dxa"/>
            <w:vAlign w:val="center"/>
          </w:tcPr>
          <w:p>
            <w:pPr>
              <w:rPr>
                <w:rFonts w:ascii="宋体" w:hAnsi="宋体" w:cs="宋体"/>
                <w:szCs w:val="21"/>
              </w:rPr>
            </w:pPr>
            <w:r>
              <w:rPr>
                <w:rFonts w:hint="eastAsia" w:ascii="宋体" w:hAnsi="宋体" w:cs="宋体"/>
                <w:szCs w:val="21"/>
              </w:rPr>
              <w:t>时间：2019年</w:t>
            </w:r>
            <w:r>
              <w:rPr>
                <w:rFonts w:hint="eastAsia" w:ascii="宋体" w:hAnsi="宋体" w:cs="宋体"/>
                <w:szCs w:val="21"/>
                <w:lang w:val="en-US" w:eastAsia="zh-CN"/>
              </w:rPr>
              <w:t>5</w:t>
            </w:r>
            <w:r>
              <w:rPr>
                <w:rFonts w:hint="eastAsia" w:ascii="宋体" w:hAnsi="宋体" w:cs="宋体"/>
                <w:szCs w:val="21"/>
              </w:rPr>
              <w:t xml:space="preserve">月 </w:t>
            </w:r>
            <w:r>
              <w:rPr>
                <w:rFonts w:hint="eastAsia" w:ascii="宋体" w:hAnsi="宋体" w:cs="宋体"/>
                <w:szCs w:val="21"/>
                <w:lang w:val="en-US" w:eastAsia="zh-CN"/>
              </w:rPr>
              <w:t>5</w:t>
            </w:r>
            <w:bookmarkStart w:id="4" w:name="_GoBack"/>
            <w:bookmarkEnd w:id="4"/>
            <w:r>
              <w:rPr>
                <w:rFonts w:hint="eastAsia" w:ascii="宋体" w:hAnsi="宋体" w:cs="宋体"/>
                <w:szCs w:val="21"/>
              </w:rPr>
              <w:t xml:space="preserve">日至 </w:t>
            </w:r>
            <w:r>
              <w:rPr>
                <w:rFonts w:hint="eastAsia" w:ascii="宋体" w:hAnsi="宋体" w:cs="宋体"/>
                <w:szCs w:val="21"/>
                <w:lang w:val="en-US" w:eastAsia="zh-CN"/>
              </w:rPr>
              <w:t>5</w:t>
            </w:r>
            <w:r>
              <w:rPr>
                <w:rFonts w:hint="eastAsia" w:ascii="宋体" w:hAnsi="宋体" w:cs="宋体"/>
                <w:szCs w:val="21"/>
              </w:rPr>
              <w:t xml:space="preserve">月 </w:t>
            </w:r>
            <w:r>
              <w:rPr>
                <w:rFonts w:hint="eastAsia" w:ascii="宋体" w:hAnsi="宋体" w:cs="宋体"/>
                <w:szCs w:val="21"/>
                <w:lang w:val="en-US" w:eastAsia="zh-CN"/>
              </w:rPr>
              <w:t>10</w:t>
            </w:r>
            <w:r>
              <w:rPr>
                <w:rFonts w:hint="eastAsia" w:ascii="宋体" w:hAnsi="宋体" w:cs="宋体"/>
                <w:szCs w:val="21"/>
              </w:rPr>
              <w:t>日9：00--17：30（逾期不再受理）</w:t>
            </w:r>
          </w:p>
          <w:p>
            <w:pPr>
              <w:rPr>
                <w:rFonts w:ascii="宋体" w:hAnsi="宋体" w:cs="宋体"/>
                <w:szCs w:val="21"/>
              </w:rPr>
            </w:pPr>
            <w:r>
              <w:rPr>
                <w:rFonts w:hint="eastAsia" w:ascii="宋体" w:hAnsi="宋体" w:cs="宋体"/>
                <w:szCs w:val="21"/>
              </w:rPr>
              <w:t>联系人：陈健强，联系电话：0516-83536015，13852139686 。</w:t>
            </w:r>
          </w:p>
          <w:p>
            <w:pPr>
              <w:rPr>
                <w:rFonts w:ascii="宋体" w:hAnsi="宋体" w:cs="宋体"/>
                <w:szCs w:val="21"/>
              </w:rPr>
            </w:pPr>
            <w:r>
              <w:rPr>
                <w:rFonts w:hint="eastAsia" w:ascii="宋体" w:hAnsi="宋体" w:cs="宋体"/>
                <w:szCs w:val="21"/>
              </w:rPr>
              <w:t>现场勘查费用自理。</w:t>
            </w:r>
          </w:p>
        </w:tc>
      </w:tr>
    </w:tbl>
    <w:p/>
    <w:p/>
    <w:p>
      <w:pPr>
        <w:spacing w:line="400" w:lineRule="exact"/>
        <w:jc w:val="center"/>
        <w:outlineLvl w:val="1"/>
        <w:rPr>
          <w:b/>
          <w:sz w:val="30"/>
          <w:szCs w:val="30"/>
        </w:rPr>
      </w:pPr>
      <w:r>
        <w:rPr>
          <w:rFonts w:hint="eastAsia"/>
          <w:b/>
          <w:sz w:val="30"/>
          <w:szCs w:val="30"/>
        </w:rPr>
        <w:t>二、总 则</w:t>
      </w:r>
    </w:p>
    <w:p>
      <w:pPr>
        <w:spacing w:line="400" w:lineRule="exact"/>
        <w:rPr>
          <w:rFonts w:ascii="宋体" w:hAnsi="宋体" w:cs="宋体"/>
          <w:b/>
          <w:bCs/>
          <w:sz w:val="24"/>
        </w:rPr>
      </w:pPr>
      <w:r>
        <w:rPr>
          <w:rFonts w:hint="eastAsia" w:ascii="宋体" w:hAnsi="宋体" w:cs="宋体"/>
          <w:b/>
          <w:bCs/>
          <w:sz w:val="24"/>
        </w:rPr>
        <w:t xml:space="preserve">    1.项目名称及编号</w:t>
      </w:r>
    </w:p>
    <w:p>
      <w:pPr>
        <w:tabs>
          <w:tab w:val="left" w:pos="720"/>
        </w:tabs>
        <w:spacing w:line="400" w:lineRule="exact"/>
        <w:ind w:hanging="10"/>
        <w:rPr>
          <w:rFonts w:ascii="宋体" w:hAnsi="宋体" w:cs="宋体"/>
          <w:b/>
          <w:bCs/>
          <w:sz w:val="24"/>
        </w:rPr>
      </w:pPr>
      <w:r>
        <w:rPr>
          <w:rFonts w:hint="eastAsia" w:ascii="宋体" w:hAnsi="宋体" w:cs="宋体"/>
          <w:sz w:val="24"/>
        </w:rPr>
        <w:t xml:space="preserve">    1.1项目名称：</w:t>
      </w:r>
      <w:r>
        <w:rPr>
          <w:rFonts w:hint="eastAsia" w:ascii="宋体" w:hAnsi="宋体" w:cs="宋体"/>
          <w:bCs/>
          <w:sz w:val="24"/>
        </w:rPr>
        <w:t>江苏师范大学泉山校区</w:t>
      </w:r>
      <w:r>
        <w:rPr>
          <w:rFonts w:hint="eastAsia" w:ascii="宋体" w:hAnsi="宋体" w:cs="宋体"/>
          <w:bCs/>
          <w:sz w:val="24"/>
          <w:lang w:val="en-US" w:eastAsia="zh-CN"/>
        </w:rPr>
        <w:t>学生</w:t>
      </w:r>
      <w:r>
        <w:rPr>
          <w:rFonts w:hint="eastAsia" w:ascii="宋体" w:hAnsi="宋体" w:cs="宋体"/>
          <w:bCs/>
          <w:sz w:val="24"/>
        </w:rPr>
        <w:t>一食堂承包经营服务</w:t>
      </w:r>
    </w:p>
    <w:p>
      <w:pPr>
        <w:tabs>
          <w:tab w:val="left" w:pos="720"/>
        </w:tabs>
        <w:spacing w:line="400" w:lineRule="exact"/>
        <w:ind w:hanging="10"/>
        <w:rPr>
          <w:rFonts w:ascii="宋体" w:hAnsi="宋体" w:cs="宋体"/>
          <w:sz w:val="24"/>
        </w:rPr>
      </w:pPr>
      <w:r>
        <w:rPr>
          <w:rFonts w:hint="eastAsia" w:ascii="宋体" w:hAnsi="宋体" w:cs="宋体"/>
          <w:sz w:val="24"/>
        </w:rPr>
        <w:t xml:space="preserve">    1.2项目编号：2019F09030</w:t>
      </w:r>
    </w:p>
    <w:p>
      <w:pPr>
        <w:spacing w:line="400" w:lineRule="exact"/>
        <w:rPr>
          <w:rFonts w:ascii="宋体" w:hAnsi="宋体" w:cs="宋体"/>
          <w:b/>
          <w:sz w:val="24"/>
        </w:rPr>
      </w:pPr>
      <w:r>
        <w:rPr>
          <w:rFonts w:hint="eastAsia" w:ascii="宋体" w:hAnsi="宋体" w:cs="宋体"/>
          <w:sz w:val="24"/>
        </w:rPr>
        <w:t xml:space="preserve">    1.3招标方式：公开招标 </w:t>
      </w:r>
    </w:p>
    <w:p>
      <w:pPr>
        <w:tabs>
          <w:tab w:val="left" w:pos="720"/>
        </w:tabs>
        <w:spacing w:line="400" w:lineRule="exact"/>
        <w:rPr>
          <w:rFonts w:ascii="宋体" w:hAnsi="宋体" w:cs="宋体"/>
          <w:b/>
          <w:sz w:val="24"/>
          <w:u w:val="single"/>
        </w:rPr>
      </w:pPr>
      <w:r>
        <w:rPr>
          <w:rFonts w:hint="eastAsia" w:ascii="宋体" w:hAnsi="宋体" w:cs="宋体"/>
          <w:b/>
          <w:sz w:val="24"/>
        </w:rPr>
        <w:t xml:space="preserve">    2.</w:t>
      </w:r>
      <w:r>
        <w:rPr>
          <w:rFonts w:hint="eastAsia" w:ascii="宋体" w:hAnsi="宋体" w:cs="宋体"/>
          <w:b/>
          <w:bCs/>
          <w:sz w:val="24"/>
        </w:rPr>
        <w:t>定义及解释</w:t>
      </w:r>
    </w:p>
    <w:p>
      <w:pPr>
        <w:spacing w:line="400" w:lineRule="exact"/>
        <w:ind w:firstLine="417" w:firstLineChars="174"/>
        <w:rPr>
          <w:rFonts w:ascii="宋体" w:hAnsi="宋体" w:cs="宋体"/>
          <w:sz w:val="24"/>
        </w:rPr>
      </w:pPr>
      <w:r>
        <w:rPr>
          <w:rFonts w:hint="eastAsia" w:ascii="宋体" w:hAnsi="宋体" w:cs="宋体"/>
          <w:sz w:val="24"/>
        </w:rPr>
        <w:t>2.1招标人/甲方：均指江苏师范大学。</w:t>
      </w:r>
    </w:p>
    <w:p>
      <w:pPr>
        <w:spacing w:line="400" w:lineRule="exact"/>
        <w:ind w:firstLine="417" w:firstLineChars="174"/>
        <w:rPr>
          <w:rFonts w:ascii="宋体" w:hAnsi="宋体" w:cs="宋体"/>
          <w:sz w:val="24"/>
        </w:rPr>
      </w:pPr>
      <w:r>
        <w:rPr>
          <w:rFonts w:hint="eastAsia" w:ascii="宋体" w:hAnsi="宋体" w:cs="宋体"/>
          <w:sz w:val="24"/>
        </w:rPr>
        <w:t>2.2 投标人：是响应招标文件并参加投标的法人或者其他组织。</w:t>
      </w:r>
    </w:p>
    <w:p>
      <w:pPr>
        <w:spacing w:line="400" w:lineRule="exact"/>
        <w:ind w:firstLine="417" w:firstLineChars="174"/>
        <w:rPr>
          <w:rFonts w:ascii="宋体" w:hAnsi="宋体" w:cs="宋体"/>
          <w:sz w:val="24"/>
        </w:rPr>
      </w:pPr>
      <w:r>
        <w:rPr>
          <w:rFonts w:hint="eastAsia" w:ascii="宋体" w:hAnsi="宋体" w:cs="宋体"/>
          <w:sz w:val="24"/>
        </w:rPr>
        <w:t>2.3评标小组：评标小组是按照《中华人民共和国政府采购法》及相关法律法规，组织的专门负责本次招标及评标工作的临时性机构。</w:t>
      </w:r>
    </w:p>
    <w:p>
      <w:pPr>
        <w:spacing w:line="400" w:lineRule="exact"/>
        <w:ind w:firstLine="417" w:firstLineChars="174"/>
        <w:rPr>
          <w:rFonts w:ascii="宋体" w:hAnsi="宋体" w:cs="宋体"/>
          <w:sz w:val="24"/>
        </w:rPr>
      </w:pPr>
      <w:r>
        <w:rPr>
          <w:rFonts w:hint="eastAsia" w:ascii="宋体" w:hAnsi="宋体" w:cs="宋体"/>
          <w:sz w:val="24"/>
        </w:rPr>
        <w:t>2.4 合同：指本次招标所产生的合同或合约文件。</w:t>
      </w:r>
    </w:p>
    <w:p>
      <w:pPr>
        <w:spacing w:line="400" w:lineRule="exact"/>
        <w:rPr>
          <w:rFonts w:ascii="宋体" w:hAnsi="宋体" w:cs="宋体"/>
          <w:b/>
          <w:bCs/>
          <w:sz w:val="24"/>
        </w:rPr>
      </w:pPr>
      <w:r>
        <w:rPr>
          <w:rFonts w:hint="eastAsia" w:ascii="宋体" w:hAnsi="宋体" w:cs="宋体"/>
          <w:b/>
          <w:bCs/>
          <w:sz w:val="24"/>
        </w:rPr>
        <w:t xml:space="preserve">    3.合格的投标人</w:t>
      </w:r>
    </w:p>
    <w:p>
      <w:pPr>
        <w:spacing w:line="400" w:lineRule="exact"/>
        <w:rPr>
          <w:rFonts w:ascii="宋体" w:hAnsi="宋体" w:cs="宋体"/>
          <w:sz w:val="24"/>
        </w:rPr>
      </w:pPr>
      <w:r>
        <w:rPr>
          <w:rFonts w:hint="eastAsia" w:ascii="宋体" w:hAnsi="宋体" w:cs="宋体"/>
          <w:sz w:val="24"/>
        </w:rPr>
        <w:t xml:space="preserve">    与本项目招标公告和招标文件中资质条件要求一致的投标人。</w:t>
      </w:r>
    </w:p>
    <w:p>
      <w:pPr>
        <w:spacing w:line="400" w:lineRule="exact"/>
        <w:rPr>
          <w:rFonts w:ascii="宋体" w:hAnsi="宋体" w:cs="宋体"/>
          <w:b/>
          <w:bCs/>
          <w:sz w:val="24"/>
        </w:rPr>
      </w:pPr>
      <w:r>
        <w:rPr>
          <w:rFonts w:hint="eastAsia" w:ascii="宋体" w:hAnsi="宋体" w:cs="宋体"/>
          <w:b/>
          <w:bCs/>
          <w:sz w:val="24"/>
        </w:rPr>
        <w:t xml:space="preserve">    4.纪律与保密事项</w:t>
      </w:r>
    </w:p>
    <w:p>
      <w:pPr>
        <w:spacing w:line="400" w:lineRule="exact"/>
        <w:ind w:firstLine="417" w:firstLineChars="174"/>
        <w:rPr>
          <w:rFonts w:ascii="宋体" w:hAnsi="宋体" w:cs="宋体"/>
          <w:sz w:val="24"/>
        </w:rPr>
      </w:pPr>
      <w:r>
        <w:rPr>
          <w:rFonts w:hint="eastAsia" w:ascii="宋体" w:hAnsi="宋体" w:cs="宋体"/>
          <w:sz w:val="24"/>
        </w:rPr>
        <w:t xml:space="preserve"> 4.1 凡参与招标工作的有关人员均应自觉接受有关主管部门的监督，不得向他人透露已获得招标文件的潜在投标人的名称、数量以及可能影响公平竞争的有关招投标的其他情况。</w:t>
      </w:r>
    </w:p>
    <w:p>
      <w:pPr>
        <w:spacing w:line="400" w:lineRule="exact"/>
        <w:ind w:firstLine="417" w:firstLineChars="174"/>
        <w:rPr>
          <w:rFonts w:ascii="宋体" w:hAnsi="宋体" w:cs="宋体"/>
          <w:sz w:val="24"/>
        </w:rPr>
      </w:pPr>
      <w:r>
        <w:rPr>
          <w:rFonts w:hint="eastAsia" w:ascii="宋体" w:hAnsi="宋体" w:cs="宋体"/>
          <w:sz w:val="24"/>
        </w:rPr>
        <w:t xml:space="preserve"> 4.2 开标后，直至向中标人发出《中标通知书》时止，凡与审查、澄清、评价和比较投标的有关资料以及授标意见等，参与招标工作的有关人员均不得向投标人及与评标无关的其他人透露。</w:t>
      </w:r>
    </w:p>
    <w:p>
      <w:pPr>
        <w:spacing w:line="400" w:lineRule="exact"/>
        <w:ind w:firstLine="417" w:firstLineChars="174"/>
        <w:rPr>
          <w:rFonts w:ascii="宋体" w:hAnsi="宋体" w:cs="宋体"/>
          <w:sz w:val="24"/>
        </w:rPr>
      </w:pPr>
      <w:r>
        <w:rPr>
          <w:rFonts w:hint="eastAsia" w:ascii="宋体" w:hAnsi="宋体" w:cs="宋体"/>
          <w:sz w:val="24"/>
        </w:rPr>
        <w:t xml:space="preserve"> 4.3投标人不得串通作弊，以不正当的手段妨碍、排挤其他人，扰乱招标市场，破坏公平竞争原则。</w:t>
      </w:r>
    </w:p>
    <w:p>
      <w:pPr>
        <w:spacing w:line="400" w:lineRule="exact"/>
        <w:ind w:firstLine="417" w:firstLineChars="174"/>
        <w:rPr>
          <w:rFonts w:ascii="宋体" w:hAnsi="宋体" w:cs="宋体"/>
          <w:sz w:val="24"/>
        </w:rPr>
      </w:pPr>
      <w:r>
        <w:rPr>
          <w:rFonts w:hint="eastAsia" w:ascii="宋体" w:hAnsi="宋体" w:cs="宋体"/>
          <w:sz w:val="24"/>
        </w:rPr>
        <w:t xml:space="preserve"> 4.4获得本招标文件者，应对文件进行保密，不得用作本次投标以外的任何用途。若有要求，开标后，投标人应归还招标文件中的保密文件和资料。</w:t>
      </w:r>
    </w:p>
    <w:p>
      <w:pPr>
        <w:spacing w:line="400" w:lineRule="exact"/>
        <w:rPr>
          <w:rFonts w:ascii="宋体" w:hAnsi="宋体" w:cs="宋体"/>
          <w:b/>
          <w:bCs/>
          <w:sz w:val="24"/>
        </w:rPr>
      </w:pPr>
      <w:r>
        <w:rPr>
          <w:rFonts w:hint="eastAsia" w:ascii="宋体" w:hAnsi="宋体" w:cs="宋体"/>
          <w:b/>
          <w:bCs/>
          <w:sz w:val="24"/>
        </w:rPr>
        <w:t xml:space="preserve">    5.投标人须知</w:t>
      </w:r>
    </w:p>
    <w:p>
      <w:pPr>
        <w:spacing w:line="400" w:lineRule="exact"/>
        <w:ind w:firstLine="417" w:firstLineChars="174"/>
        <w:rPr>
          <w:rFonts w:ascii="宋体" w:hAnsi="宋体" w:cs="宋体"/>
          <w:sz w:val="24"/>
        </w:rPr>
      </w:pPr>
      <w:r>
        <w:rPr>
          <w:rFonts w:hint="eastAsia" w:ascii="宋体" w:hAnsi="宋体" w:cs="宋体"/>
          <w:sz w:val="24"/>
        </w:rPr>
        <w:t>5.1 凡参加本次投标的投标人被视为已充分认识和理解了任何与本项目有关的事项及各种困难情况。</w:t>
      </w:r>
    </w:p>
    <w:p>
      <w:pPr>
        <w:spacing w:line="400" w:lineRule="exact"/>
        <w:ind w:firstLine="417" w:firstLineChars="174"/>
        <w:rPr>
          <w:rFonts w:ascii="宋体" w:hAnsi="宋体" w:cs="宋体"/>
          <w:sz w:val="24"/>
        </w:rPr>
      </w:pPr>
      <w:r>
        <w:rPr>
          <w:rFonts w:hint="eastAsia" w:ascii="宋体" w:hAnsi="宋体" w:cs="宋体"/>
          <w:sz w:val="24"/>
        </w:rPr>
        <w:t>5.2 投标人应保证所提供给招标人的资料和数据是真实的。</w:t>
      </w:r>
    </w:p>
    <w:p>
      <w:pPr>
        <w:spacing w:line="400" w:lineRule="exact"/>
        <w:rPr>
          <w:rFonts w:ascii="宋体" w:hAnsi="宋体" w:cs="宋体"/>
          <w:b/>
          <w:bCs/>
          <w:sz w:val="24"/>
        </w:rPr>
      </w:pPr>
      <w:r>
        <w:rPr>
          <w:rFonts w:hint="eastAsia" w:ascii="宋体" w:hAnsi="宋体" w:cs="宋体"/>
          <w:b/>
          <w:bCs/>
          <w:sz w:val="24"/>
        </w:rPr>
        <w:t xml:space="preserve">    6.投标费用</w:t>
      </w:r>
    </w:p>
    <w:p>
      <w:pPr>
        <w:spacing w:line="400" w:lineRule="exact"/>
        <w:ind w:firstLine="417" w:firstLineChars="174"/>
        <w:rPr>
          <w:rFonts w:ascii="宋体" w:hAnsi="宋体" w:cs="宋体"/>
          <w:sz w:val="24"/>
        </w:rPr>
      </w:pPr>
      <w:r>
        <w:rPr>
          <w:rFonts w:hint="eastAsia" w:ascii="宋体" w:hAnsi="宋体" w:cs="宋体"/>
          <w:sz w:val="24"/>
        </w:rPr>
        <w:t>6.1 投标人应承担所有与编写和提交文件有关的费用，不论投标的结果如何，招标人在任何情况下均无义务和责任承担这些费用。</w:t>
      </w:r>
    </w:p>
    <w:p>
      <w:pPr>
        <w:spacing w:line="400" w:lineRule="exact"/>
        <w:ind w:firstLine="417" w:firstLineChars="174"/>
        <w:rPr>
          <w:rFonts w:ascii="宋体" w:hAnsi="宋体" w:cs="宋体"/>
          <w:b/>
          <w:sz w:val="24"/>
        </w:rPr>
      </w:pPr>
      <w:r>
        <w:rPr>
          <w:rFonts w:hint="eastAsia" w:ascii="宋体" w:hAnsi="宋体" w:cs="宋体"/>
          <w:sz w:val="24"/>
        </w:rPr>
        <w:t xml:space="preserve">                               </w:t>
      </w:r>
      <w:r>
        <w:rPr>
          <w:rFonts w:hint="eastAsia" w:ascii="宋体" w:hAnsi="宋体" w:cs="宋体"/>
          <w:b/>
          <w:sz w:val="24"/>
        </w:rPr>
        <w:t>三、招标文件</w:t>
      </w:r>
    </w:p>
    <w:p>
      <w:pPr>
        <w:spacing w:line="400" w:lineRule="exact"/>
        <w:ind w:left="619" w:hanging="619" w:hangingChars="257"/>
        <w:rPr>
          <w:rFonts w:ascii="宋体" w:hAnsi="宋体" w:cs="宋体"/>
          <w:b/>
          <w:bCs/>
          <w:sz w:val="24"/>
        </w:rPr>
      </w:pPr>
      <w:r>
        <w:rPr>
          <w:rFonts w:hint="eastAsia" w:ascii="宋体" w:hAnsi="宋体" w:cs="宋体"/>
          <w:b/>
          <w:bCs/>
          <w:sz w:val="24"/>
        </w:rPr>
        <w:t xml:space="preserve">    7.招标文件的构成</w:t>
      </w:r>
    </w:p>
    <w:p>
      <w:pPr>
        <w:spacing w:line="400" w:lineRule="exact"/>
        <w:ind w:firstLine="417" w:firstLineChars="174"/>
        <w:rPr>
          <w:rFonts w:ascii="宋体" w:hAnsi="宋体" w:cs="宋体"/>
          <w:sz w:val="24"/>
        </w:rPr>
      </w:pPr>
      <w:r>
        <w:rPr>
          <w:rFonts w:hint="eastAsia" w:ascii="宋体" w:hAnsi="宋体" w:cs="宋体"/>
          <w:sz w:val="24"/>
        </w:rPr>
        <w:t xml:space="preserve"> 7.1 本次招标的有关内容和要求在招标文件中均有说明。招标文件包括：</w:t>
      </w:r>
    </w:p>
    <w:p>
      <w:pPr>
        <w:spacing w:line="400" w:lineRule="exact"/>
        <w:ind w:firstLine="417" w:firstLineChars="174"/>
        <w:rPr>
          <w:rFonts w:ascii="宋体" w:hAnsi="宋体" w:cs="宋体"/>
          <w:sz w:val="24"/>
        </w:rPr>
      </w:pPr>
      <w:r>
        <w:rPr>
          <w:rFonts w:hint="eastAsia" w:ascii="宋体" w:hAnsi="宋体" w:cs="宋体"/>
          <w:sz w:val="24"/>
        </w:rPr>
        <w:t xml:space="preserve"> 第一部分 投标人须知</w:t>
      </w:r>
    </w:p>
    <w:p>
      <w:pPr>
        <w:spacing w:line="400" w:lineRule="exact"/>
        <w:ind w:firstLine="417" w:firstLineChars="174"/>
        <w:rPr>
          <w:rFonts w:ascii="宋体" w:hAnsi="宋体" w:cs="宋体"/>
          <w:sz w:val="24"/>
        </w:rPr>
      </w:pPr>
      <w:r>
        <w:rPr>
          <w:rFonts w:hint="eastAsia" w:ascii="宋体" w:hAnsi="宋体" w:cs="宋体"/>
          <w:sz w:val="24"/>
        </w:rPr>
        <w:t xml:space="preserve"> 第二部分 项目概况及服务要求 </w:t>
      </w:r>
    </w:p>
    <w:p>
      <w:pPr>
        <w:spacing w:line="400" w:lineRule="exact"/>
        <w:ind w:firstLine="417" w:firstLineChars="174"/>
        <w:rPr>
          <w:rFonts w:ascii="宋体" w:hAnsi="宋体" w:cs="宋体"/>
          <w:sz w:val="24"/>
        </w:rPr>
      </w:pPr>
      <w:r>
        <w:rPr>
          <w:rFonts w:hint="eastAsia" w:ascii="宋体" w:hAnsi="宋体" w:cs="宋体"/>
          <w:sz w:val="24"/>
        </w:rPr>
        <w:t xml:space="preserve"> 第三部分合同主要条款</w:t>
      </w:r>
    </w:p>
    <w:p>
      <w:pPr>
        <w:spacing w:line="400" w:lineRule="exact"/>
        <w:ind w:firstLine="417" w:firstLineChars="174"/>
        <w:rPr>
          <w:rFonts w:ascii="宋体" w:hAnsi="宋体" w:cs="宋体"/>
          <w:sz w:val="24"/>
        </w:rPr>
      </w:pPr>
      <w:r>
        <w:rPr>
          <w:rFonts w:hint="eastAsia" w:ascii="宋体" w:hAnsi="宋体" w:cs="宋体"/>
          <w:sz w:val="24"/>
        </w:rPr>
        <w:t xml:space="preserve"> 第四部分 投标文件格式 </w:t>
      </w:r>
    </w:p>
    <w:p>
      <w:pPr>
        <w:spacing w:line="400" w:lineRule="exact"/>
        <w:ind w:firstLine="417" w:firstLineChars="174"/>
        <w:rPr>
          <w:rFonts w:ascii="宋体" w:hAnsi="宋体" w:cs="宋体"/>
          <w:sz w:val="24"/>
        </w:rPr>
      </w:pPr>
      <w:r>
        <w:rPr>
          <w:rFonts w:hint="eastAsia" w:ascii="宋体" w:hAnsi="宋体" w:cs="宋体"/>
          <w:sz w:val="24"/>
        </w:rPr>
        <w:t>7.2投标人应认真阅读招标文件中所有的事项、格式、条款和规范等要求。投标人没有按照招标文件要求提交全部资料，或者投标文件没有对招标文件各方面都有做出实质性响应是投标人的风险，因为没有实质性响应招标文件要求的投标将被拒绝。</w:t>
      </w:r>
    </w:p>
    <w:p>
      <w:pPr>
        <w:spacing w:line="400" w:lineRule="exact"/>
        <w:rPr>
          <w:rFonts w:ascii="宋体" w:hAnsi="宋体" w:cs="宋体"/>
          <w:b/>
          <w:bCs/>
          <w:sz w:val="24"/>
        </w:rPr>
      </w:pPr>
      <w:r>
        <w:rPr>
          <w:rFonts w:hint="eastAsia" w:ascii="宋体" w:hAnsi="宋体" w:cs="宋体"/>
          <w:b/>
          <w:bCs/>
          <w:sz w:val="24"/>
        </w:rPr>
        <w:t xml:space="preserve">    8.招标文件的澄清</w:t>
      </w:r>
    </w:p>
    <w:p>
      <w:pPr>
        <w:spacing w:line="400" w:lineRule="exact"/>
        <w:rPr>
          <w:rFonts w:ascii="宋体" w:hAnsi="宋体" w:cs="宋体"/>
          <w:sz w:val="24"/>
        </w:rPr>
      </w:pPr>
      <w:r>
        <w:rPr>
          <w:rFonts w:hint="eastAsia" w:ascii="宋体" w:hAnsi="宋体" w:cs="宋体"/>
          <w:sz w:val="24"/>
        </w:rPr>
        <w:t xml:space="preserve">    投标人如对采购文件有疑问要求澄清的，可在</w:t>
      </w:r>
      <w:r>
        <w:rPr>
          <w:rFonts w:ascii="宋体" w:hAnsi="宋体" w:cs="宋体"/>
          <w:sz w:val="24"/>
        </w:rPr>
        <w:t>2019</w:t>
      </w:r>
      <w:r>
        <w:rPr>
          <w:rFonts w:hint="eastAsia" w:ascii="宋体" w:hAnsi="宋体" w:cs="宋体"/>
          <w:sz w:val="24"/>
        </w:rPr>
        <w:t>年</w:t>
      </w:r>
      <w:r>
        <w:rPr>
          <w:rFonts w:ascii="宋体" w:hAnsi="宋体" w:cs="宋体"/>
          <w:sz w:val="24"/>
        </w:rPr>
        <w:t>5</w:t>
      </w:r>
      <w:r>
        <w:rPr>
          <w:rFonts w:hint="eastAsia" w:ascii="宋体" w:hAnsi="宋体" w:cs="宋体"/>
          <w:sz w:val="24"/>
        </w:rPr>
        <w:t>月</w:t>
      </w:r>
      <w:r>
        <w:rPr>
          <w:rFonts w:ascii="宋体" w:hAnsi="宋体" w:cs="宋体"/>
          <w:sz w:val="24"/>
        </w:rPr>
        <w:t>10</w:t>
      </w:r>
      <w:r>
        <w:rPr>
          <w:rFonts w:hint="eastAsia" w:ascii="宋体" w:hAnsi="宋体" w:cs="宋体"/>
          <w:sz w:val="24"/>
        </w:rPr>
        <w:t>日</w:t>
      </w:r>
      <w:r>
        <w:rPr>
          <w:rFonts w:ascii="宋体" w:hAnsi="宋体" w:cs="宋体"/>
          <w:sz w:val="24"/>
        </w:rPr>
        <w:t>16:00</w:t>
      </w:r>
      <w:r>
        <w:rPr>
          <w:rFonts w:hint="eastAsia" w:ascii="宋体" w:hAnsi="宋体" w:cs="宋体"/>
          <w:sz w:val="24"/>
        </w:rPr>
        <w:t>前以书面形式或传真方式递交到我校招标办（澄清函需加盖投标人公章；传真：</w:t>
      </w:r>
      <w:r>
        <w:rPr>
          <w:rFonts w:ascii="宋体" w:hAnsi="宋体" w:cs="宋体"/>
          <w:sz w:val="24"/>
        </w:rPr>
        <w:t>0516-83536959</w:t>
      </w:r>
      <w:r>
        <w:rPr>
          <w:rFonts w:hint="eastAsia" w:ascii="宋体" w:hAnsi="宋体" w:cs="宋体"/>
          <w:sz w:val="24"/>
        </w:rPr>
        <w:t>），同时将电子版发送至招标办邮箱</w:t>
      </w:r>
      <w:r>
        <w:rPr>
          <w:rFonts w:ascii="宋体" w:hAnsi="宋体" w:cs="宋体"/>
          <w:sz w:val="24"/>
        </w:rPr>
        <w:t>2561830766@qq.com</w:t>
      </w:r>
      <w:r>
        <w:rPr>
          <w:rFonts w:hint="eastAsia" w:ascii="宋体" w:hAnsi="宋体" w:cs="宋体"/>
          <w:sz w:val="24"/>
        </w:rPr>
        <w:t>（电子版包括：澄清函图片格式的扫描件及澄清函内容对应的</w:t>
      </w:r>
      <w:r>
        <w:rPr>
          <w:rFonts w:ascii="宋体" w:hAnsi="宋体" w:cs="宋体"/>
          <w:sz w:val="24"/>
        </w:rPr>
        <w:t>word</w:t>
      </w:r>
      <w:r>
        <w:rPr>
          <w:rFonts w:hint="eastAsia" w:ascii="宋体" w:hAnsi="宋体" w:cs="宋体"/>
          <w:sz w:val="24"/>
        </w:rPr>
        <w:t>文档）。招标办将答疑内容</w:t>
      </w:r>
      <w:r>
        <w:rPr>
          <w:rFonts w:ascii="宋体" w:hAnsi="宋体" w:cs="宋体"/>
          <w:sz w:val="24"/>
        </w:rPr>
        <w:t>5</w:t>
      </w:r>
      <w:r>
        <w:rPr>
          <w:rFonts w:hint="eastAsia" w:ascii="宋体" w:hAnsi="宋体" w:cs="宋体"/>
          <w:sz w:val="24"/>
        </w:rPr>
        <w:t>月</w:t>
      </w:r>
      <w:r>
        <w:rPr>
          <w:rFonts w:ascii="宋体" w:hAnsi="宋体" w:cs="宋体"/>
          <w:sz w:val="24"/>
        </w:rPr>
        <w:t>15</w:t>
      </w:r>
      <w:r>
        <w:rPr>
          <w:rFonts w:hint="eastAsia" w:ascii="宋体" w:hAnsi="宋体" w:cs="宋体"/>
          <w:sz w:val="24"/>
        </w:rPr>
        <w:t>日</w:t>
      </w:r>
      <w:r>
        <w:rPr>
          <w:rFonts w:ascii="宋体" w:hAnsi="宋体" w:cs="宋体"/>
          <w:sz w:val="24"/>
        </w:rPr>
        <w:t>17</w:t>
      </w:r>
      <w:r>
        <w:rPr>
          <w:rFonts w:hint="eastAsia" w:ascii="宋体" w:hAnsi="宋体" w:cs="宋体"/>
          <w:sz w:val="24"/>
        </w:rPr>
        <w:t>：</w:t>
      </w:r>
      <w:r>
        <w:rPr>
          <w:rFonts w:ascii="宋体" w:hAnsi="宋体" w:cs="宋体"/>
          <w:sz w:val="24"/>
        </w:rPr>
        <w:t>00</w:t>
      </w:r>
      <w:r>
        <w:rPr>
          <w:rFonts w:hint="eastAsia" w:ascii="宋体" w:hAnsi="宋体" w:cs="宋体"/>
          <w:sz w:val="24"/>
        </w:rPr>
        <w:t>前在</w:t>
      </w:r>
      <w:r>
        <w:rPr>
          <w:rFonts w:ascii="宋体" w:hAnsi="宋体" w:cs="宋体"/>
          <w:sz w:val="24"/>
        </w:rPr>
        <w:t>“</w:t>
      </w:r>
      <w:r>
        <w:rPr>
          <w:rFonts w:hint="eastAsia" w:ascii="宋体" w:hAnsi="宋体" w:cs="宋体"/>
          <w:sz w:val="24"/>
        </w:rPr>
        <w:t>江苏师范大学招标网</w:t>
      </w:r>
      <w:r>
        <w:rPr>
          <w:rFonts w:ascii="宋体" w:hAnsi="宋体" w:cs="宋体"/>
          <w:sz w:val="24"/>
        </w:rPr>
        <w:t>”</w:t>
      </w:r>
      <w:r>
        <w:rPr>
          <w:rFonts w:hint="eastAsia" w:ascii="宋体" w:hAnsi="宋体" w:cs="宋体"/>
          <w:sz w:val="24"/>
        </w:rPr>
        <w:t>（</w:t>
      </w:r>
      <w:r>
        <w:rPr>
          <w:rFonts w:ascii="宋体" w:hAnsi="宋体" w:cs="宋体"/>
          <w:sz w:val="24"/>
        </w:rPr>
        <w:t>http://ztbb.jsnu.edu.cn/</w:t>
      </w:r>
      <w:r>
        <w:rPr>
          <w:rFonts w:hint="eastAsia" w:ascii="宋体" w:hAnsi="宋体" w:cs="宋体"/>
          <w:sz w:val="24"/>
        </w:rPr>
        <w:t>）上公告</w:t>
      </w:r>
      <w:r>
        <w:rPr>
          <w:rFonts w:ascii="宋体" w:hAnsi="宋体" w:cs="宋体"/>
          <w:sz w:val="24"/>
        </w:rPr>
        <w:t>,</w:t>
      </w:r>
      <w:r>
        <w:rPr>
          <w:rFonts w:hint="eastAsia" w:ascii="宋体" w:hAnsi="宋体" w:cs="宋体"/>
          <w:sz w:val="24"/>
        </w:rPr>
        <w:t>请投标人自行关注，招标方将不再另行通知。澄清要求，逾期将不再受理。</w:t>
      </w:r>
    </w:p>
    <w:p>
      <w:pPr>
        <w:tabs>
          <w:tab w:val="left" w:pos="720"/>
        </w:tabs>
        <w:spacing w:line="400" w:lineRule="exact"/>
        <w:rPr>
          <w:rFonts w:ascii="宋体" w:hAnsi="宋体" w:cs="宋体"/>
          <w:b/>
          <w:bCs/>
          <w:sz w:val="24"/>
        </w:rPr>
      </w:pPr>
      <w:r>
        <w:rPr>
          <w:rFonts w:hint="eastAsia" w:ascii="宋体" w:hAnsi="宋体" w:cs="宋体"/>
          <w:b/>
          <w:bCs/>
          <w:sz w:val="24"/>
        </w:rPr>
        <w:t xml:space="preserve">    9.招标文件的修改</w:t>
      </w:r>
    </w:p>
    <w:p>
      <w:pPr>
        <w:spacing w:line="400" w:lineRule="exact"/>
        <w:ind w:firstLine="417" w:firstLineChars="174"/>
        <w:rPr>
          <w:rFonts w:ascii="宋体" w:hAnsi="宋体" w:cs="宋体"/>
          <w:sz w:val="24"/>
        </w:rPr>
      </w:pPr>
      <w:r>
        <w:rPr>
          <w:rFonts w:hint="eastAsia" w:ascii="宋体" w:hAnsi="宋体" w:cs="宋体"/>
          <w:sz w:val="24"/>
        </w:rPr>
        <w:t xml:space="preserve"> 9.1在截止投标时间</w:t>
      </w:r>
      <w:r>
        <w:rPr>
          <w:rFonts w:hint="eastAsia" w:ascii="宋体" w:hAnsi="宋体" w:cs="宋体"/>
          <w:sz w:val="24"/>
          <w:lang w:val="en-US" w:eastAsia="zh-CN"/>
        </w:rPr>
        <w:t>10</w:t>
      </w:r>
      <w:r>
        <w:rPr>
          <w:rFonts w:hint="eastAsia" w:ascii="宋体" w:hAnsi="宋体" w:cs="宋体"/>
          <w:sz w:val="24"/>
        </w:rPr>
        <w:t>日前的任何时候，招标人可对招标文件进行修改。</w:t>
      </w:r>
    </w:p>
    <w:p>
      <w:pPr>
        <w:spacing w:line="400" w:lineRule="exact"/>
        <w:ind w:firstLine="417" w:firstLineChars="174"/>
        <w:rPr>
          <w:rFonts w:ascii="宋体" w:hAnsi="宋体" w:cs="宋体"/>
          <w:sz w:val="24"/>
        </w:rPr>
      </w:pPr>
      <w:r>
        <w:rPr>
          <w:rFonts w:hint="eastAsia" w:ascii="宋体" w:hAnsi="宋体" w:cs="宋体"/>
          <w:sz w:val="24"/>
        </w:rPr>
        <w:t xml:space="preserve"> 9.2文件的澄清和修改将以网上发布方式通知投标人，该澄清文件也是招标文件的组成部分，并对投标人具有约束力。</w:t>
      </w:r>
    </w:p>
    <w:p>
      <w:pPr>
        <w:spacing w:line="400" w:lineRule="exact"/>
        <w:ind w:firstLine="417" w:firstLineChars="174"/>
        <w:rPr>
          <w:rFonts w:ascii="宋体" w:hAnsi="宋体" w:cs="宋体"/>
          <w:sz w:val="24"/>
        </w:rPr>
      </w:pPr>
      <w:r>
        <w:rPr>
          <w:rFonts w:hint="eastAsia" w:ascii="宋体" w:hAnsi="宋体" w:cs="宋体"/>
          <w:sz w:val="24"/>
        </w:rPr>
        <w:t xml:space="preserve"> 9.3为使投标人编写招标文件时有充分时间对招标文件的修改部分进行研究，招标人可行决定，酌情延长投标截止日期。 </w:t>
      </w:r>
    </w:p>
    <w:p>
      <w:pPr>
        <w:tabs>
          <w:tab w:val="left" w:pos="720"/>
        </w:tabs>
        <w:spacing w:line="400" w:lineRule="exact"/>
        <w:rPr>
          <w:rFonts w:ascii="宋体" w:hAnsi="宋体" w:cs="宋体"/>
          <w:b/>
          <w:bCs/>
          <w:sz w:val="24"/>
        </w:rPr>
      </w:pPr>
      <w:r>
        <w:rPr>
          <w:rFonts w:hint="eastAsia" w:ascii="宋体" w:hAnsi="宋体" w:cs="宋体"/>
          <w:b/>
          <w:bCs/>
          <w:sz w:val="24"/>
        </w:rPr>
        <w:t xml:space="preserve">    10.招标语言及计量</w:t>
      </w:r>
    </w:p>
    <w:p>
      <w:pPr>
        <w:spacing w:line="400" w:lineRule="exact"/>
        <w:rPr>
          <w:rFonts w:ascii="宋体" w:hAnsi="宋体" w:cs="宋体"/>
          <w:sz w:val="24"/>
        </w:rPr>
      </w:pPr>
      <w:r>
        <w:rPr>
          <w:rFonts w:hint="eastAsia" w:ascii="宋体" w:hAnsi="宋体" w:cs="宋体"/>
          <w:sz w:val="24"/>
        </w:rPr>
        <w:t xml:space="preserve">    10.1 招标文件的语言为中文。</w:t>
      </w:r>
    </w:p>
    <w:p>
      <w:pPr>
        <w:spacing w:line="400" w:lineRule="exact"/>
        <w:rPr>
          <w:rFonts w:ascii="宋体" w:hAnsi="宋体" w:cs="宋体"/>
          <w:sz w:val="24"/>
        </w:rPr>
      </w:pPr>
      <w:r>
        <w:rPr>
          <w:rFonts w:hint="eastAsia" w:ascii="宋体" w:hAnsi="宋体" w:cs="宋体"/>
          <w:sz w:val="24"/>
        </w:rPr>
        <w:t xml:space="preserve">    10.2 招标文件中的所有计量单位和规格说明都使用国家法定计量单位表示。</w:t>
      </w:r>
    </w:p>
    <w:p>
      <w:pPr>
        <w:spacing w:line="400" w:lineRule="exact"/>
        <w:jc w:val="center"/>
        <w:outlineLvl w:val="1"/>
        <w:rPr>
          <w:rFonts w:ascii="宋体" w:hAnsi="宋体" w:cs="宋体"/>
          <w:b/>
          <w:sz w:val="24"/>
        </w:rPr>
      </w:pPr>
      <w:r>
        <w:rPr>
          <w:rFonts w:hint="eastAsia" w:ascii="宋体" w:hAnsi="宋体" w:cs="宋体"/>
          <w:b/>
          <w:sz w:val="24"/>
        </w:rPr>
        <w:t>四、投标文件的编制</w:t>
      </w:r>
    </w:p>
    <w:p>
      <w:pPr>
        <w:tabs>
          <w:tab w:val="left" w:pos="540"/>
        </w:tabs>
        <w:spacing w:line="400" w:lineRule="exact"/>
        <w:rPr>
          <w:rFonts w:ascii="宋体" w:hAnsi="宋体" w:cs="宋体"/>
          <w:b/>
          <w:bCs/>
          <w:sz w:val="24"/>
        </w:rPr>
      </w:pPr>
      <w:r>
        <w:rPr>
          <w:rFonts w:hint="eastAsia" w:ascii="宋体" w:hAnsi="宋体" w:cs="宋体"/>
          <w:b/>
          <w:bCs/>
          <w:sz w:val="24"/>
        </w:rPr>
        <w:t xml:space="preserve">    11.特别说明 </w:t>
      </w:r>
    </w:p>
    <w:p>
      <w:pPr>
        <w:spacing w:line="400" w:lineRule="exact"/>
        <w:rPr>
          <w:rFonts w:ascii="宋体" w:hAnsi="宋体" w:cs="宋体"/>
          <w:sz w:val="24"/>
        </w:rPr>
      </w:pPr>
      <w:r>
        <w:rPr>
          <w:rFonts w:hint="eastAsia" w:ascii="宋体" w:hAnsi="宋体" w:cs="宋体"/>
          <w:sz w:val="24"/>
        </w:rPr>
        <w:t xml:space="preserve">    11.1 本招标文件的服务需求，投标人要特别注意，必须对此响应或完全满足或优于这些要求。否则，若有一项重要指标未响应或存在负偏差，将按投标无效标书处理。</w:t>
      </w:r>
    </w:p>
    <w:p>
      <w:pPr>
        <w:spacing w:line="400" w:lineRule="exact"/>
        <w:rPr>
          <w:rFonts w:ascii="宋体" w:hAnsi="宋体" w:cs="宋体"/>
          <w:sz w:val="24"/>
        </w:rPr>
      </w:pPr>
      <w:r>
        <w:rPr>
          <w:rFonts w:hint="eastAsia" w:ascii="宋体" w:hAnsi="宋体" w:cs="宋体"/>
          <w:sz w:val="24"/>
        </w:rPr>
        <w:t xml:space="preserve">    11.2 本招标文件的商务合同条款部分不允许实质性偏离。投标人必须对本招标文件的每一项要求给予实质性的响应，否则将按废标处理。</w:t>
      </w:r>
    </w:p>
    <w:p>
      <w:pPr>
        <w:spacing w:line="400" w:lineRule="exact"/>
        <w:rPr>
          <w:rFonts w:ascii="宋体" w:hAnsi="宋体" w:cs="宋体"/>
          <w:sz w:val="24"/>
        </w:rPr>
      </w:pPr>
      <w:r>
        <w:rPr>
          <w:rFonts w:hint="eastAsia" w:ascii="宋体" w:hAnsi="宋体" w:cs="宋体"/>
          <w:sz w:val="24"/>
        </w:rPr>
        <w:t xml:space="preserve">    11.3 投标人对本招标文件的每一项要求所给予的响应必须是唯一的，否则将视为不响应。</w:t>
      </w:r>
    </w:p>
    <w:p>
      <w:pPr>
        <w:spacing w:line="400" w:lineRule="exact"/>
        <w:rPr>
          <w:rFonts w:ascii="宋体" w:hAnsi="宋体" w:cs="宋体"/>
          <w:sz w:val="24"/>
        </w:rPr>
      </w:pPr>
      <w:r>
        <w:rPr>
          <w:rFonts w:hint="eastAsia" w:ascii="宋体" w:hAnsi="宋体" w:cs="宋体"/>
          <w:b/>
          <w:bCs/>
          <w:sz w:val="24"/>
        </w:rPr>
        <w:t xml:space="preserve">    12.</w:t>
      </w:r>
      <w:r>
        <w:rPr>
          <w:rFonts w:hint="eastAsia" w:ascii="宋体" w:hAnsi="宋体" w:cs="宋体"/>
          <w:sz w:val="24"/>
        </w:rPr>
        <w:t>投标人提交的投标文件以及投标人与招标人就有关投标的所有往来函电均使用中文。投标人提供的支持文件和印刷的文件可以使用英文，但相应内容应附有中文翻译本，在解释时以中文翻译为准。</w:t>
      </w:r>
    </w:p>
    <w:p>
      <w:pPr>
        <w:spacing w:line="400" w:lineRule="exact"/>
        <w:rPr>
          <w:rFonts w:ascii="宋体" w:hAnsi="宋体" w:cs="宋体"/>
          <w:b/>
          <w:bCs/>
          <w:sz w:val="24"/>
        </w:rPr>
      </w:pPr>
      <w:r>
        <w:rPr>
          <w:rFonts w:hint="eastAsia" w:ascii="宋体" w:hAnsi="宋体" w:cs="宋体"/>
          <w:sz w:val="24"/>
        </w:rPr>
        <w:t xml:space="preserve">   </w:t>
      </w:r>
      <w:r>
        <w:rPr>
          <w:rFonts w:hint="eastAsia" w:ascii="宋体" w:hAnsi="宋体" w:cs="宋体"/>
          <w:b/>
          <w:bCs/>
          <w:sz w:val="24"/>
        </w:rPr>
        <w:t xml:space="preserve"> 13.投标文件的构成</w:t>
      </w:r>
    </w:p>
    <w:p>
      <w:pPr>
        <w:spacing w:line="400" w:lineRule="exact"/>
        <w:rPr>
          <w:rFonts w:ascii="宋体" w:hAnsi="宋体" w:cs="宋体"/>
          <w:sz w:val="24"/>
        </w:rPr>
      </w:pPr>
      <w:r>
        <w:rPr>
          <w:rFonts w:hint="eastAsia" w:ascii="宋体" w:hAnsi="宋体" w:cs="宋体"/>
          <w:sz w:val="24"/>
        </w:rPr>
        <w:t xml:space="preserve">     投标人编写的投标文件应包括下列部分：</w:t>
      </w:r>
    </w:p>
    <w:p>
      <w:pPr>
        <w:spacing w:line="400" w:lineRule="exact"/>
        <w:rPr>
          <w:rFonts w:ascii="宋体" w:hAnsi="宋体" w:cs="宋体"/>
          <w:sz w:val="24"/>
        </w:rPr>
      </w:pPr>
      <w:r>
        <w:rPr>
          <w:rFonts w:hint="eastAsia" w:ascii="宋体" w:hAnsi="宋体" w:cs="宋体"/>
          <w:sz w:val="24"/>
        </w:rPr>
        <w:t xml:space="preserve">    13.1投标承诺函。</w:t>
      </w:r>
    </w:p>
    <w:p>
      <w:pPr>
        <w:spacing w:line="400" w:lineRule="exact"/>
        <w:rPr>
          <w:rFonts w:ascii="宋体" w:hAnsi="宋体" w:cs="宋体"/>
          <w:sz w:val="24"/>
        </w:rPr>
      </w:pPr>
      <w:r>
        <w:rPr>
          <w:rFonts w:hint="eastAsia" w:ascii="宋体" w:hAnsi="宋体" w:cs="宋体"/>
          <w:sz w:val="24"/>
        </w:rPr>
        <w:t xml:space="preserve">    13.2公司简介，公司经营状况、资质信用、公司规模、拟派现场负责人及项目组人员结构和管理经验等。</w:t>
      </w:r>
    </w:p>
    <w:p>
      <w:pPr>
        <w:spacing w:line="400" w:lineRule="exact"/>
        <w:rPr>
          <w:rFonts w:ascii="宋体" w:hAnsi="宋体" w:cs="宋体"/>
          <w:sz w:val="24"/>
        </w:rPr>
      </w:pPr>
      <w:r>
        <w:rPr>
          <w:rFonts w:hint="eastAsia" w:ascii="宋体" w:hAnsi="宋体" w:cs="宋体"/>
          <w:sz w:val="24"/>
        </w:rPr>
        <w:t xml:space="preserve">    13.3企业近五年主要经营业绩。</w:t>
      </w:r>
    </w:p>
    <w:p>
      <w:pPr>
        <w:spacing w:line="400" w:lineRule="exact"/>
        <w:rPr>
          <w:rFonts w:ascii="宋体" w:hAnsi="宋体" w:cs="宋体"/>
          <w:sz w:val="24"/>
        </w:rPr>
      </w:pPr>
      <w:r>
        <w:rPr>
          <w:rFonts w:hint="eastAsia" w:ascii="宋体" w:hAnsi="宋体" w:cs="宋体"/>
          <w:sz w:val="24"/>
        </w:rPr>
        <w:t xml:space="preserve">    13.4企业营业执照、组织机构代码证、企业税务登记证、食品经营许可证等相关证照复印件，并加盖单位公章。</w:t>
      </w:r>
    </w:p>
    <w:p>
      <w:pPr>
        <w:spacing w:line="400" w:lineRule="exact"/>
        <w:rPr>
          <w:rFonts w:ascii="宋体" w:hAnsi="宋体" w:cs="宋体"/>
          <w:sz w:val="24"/>
        </w:rPr>
      </w:pPr>
      <w:r>
        <w:rPr>
          <w:rFonts w:hint="eastAsia" w:ascii="宋体" w:hAnsi="宋体" w:cs="宋体"/>
          <w:sz w:val="24"/>
        </w:rPr>
        <w:t xml:space="preserve">   13.5针对本项目的经营保障服务方案，由投标人自行提供，包括以下几方面的内容：总体经营目标、思路，具体经营方案，合理化投资方案，管理措施、制度，到校经营团队组织构成和人员素质，有关承诺与应急预案等。</w:t>
      </w:r>
    </w:p>
    <w:p>
      <w:pPr>
        <w:spacing w:line="400" w:lineRule="exact"/>
        <w:rPr>
          <w:rFonts w:ascii="宋体" w:hAnsi="宋体" w:cs="宋体"/>
          <w:sz w:val="24"/>
        </w:rPr>
      </w:pPr>
      <w:r>
        <w:rPr>
          <w:rFonts w:hint="eastAsia" w:ascii="宋体" w:hAnsi="宋体" w:cs="宋体"/>
          <w:sz w:val="24"/>
        </w:rPr>
        <w:t>企业经营特色或创新。</w:t>
      </w:r>
    </w:p>
    <w:p>
      <w:pPr>
        <w:spacing w:line="400" w:lineRule="exact"/>
        <w:rPr>
          <w:rFonts w:ascii="宋体" w:hAnsi="宋体" w:cs="宋体"/>
          <w:sz w:val="24"/>
        </w:rPr>
      </w:pPr>
      <w:r>
        <w:rPr>
          <w:rFonts w:hint="eastAsia" w:ascii="宋体" w:hAnsi="宋体" w:cs="宋体"/>
          <w:sz w:val="24"/>
        </w:rPr>
        <w:t xml:space="preserve">    13.6装饰装修方案，包括装饰装修设计方案、设计说明、功能性描述、主辅材清单、施工工艺，设计图和效果图、</w:t>
      </w:r>
      <w:r>
        <w:rPr>
          <w:rFonts w:hint="eastAsia"/>
          <w:bCs/>
          <w:sz w:val="24"/>
        </w:rPr>
        <w:t>装修费用预算表</w:t>
      </w:r>
      <w:r>
        <w:rPr>
          <w:rFonts w:hint="eastAsia" w:ascii="宋体" w:hAnsi="宋体" w:cs="宋体"/>
          <w:sz w:val="24"/>
        </w:rPr>
        <w:t>等。</w:t>
      </w:r>
    </w:p>
    <w:p>
      <w:pPr>
        <w:spacing w:line="400" w:lineRule="exact"/>
        <w:rPr>
          <w:rFonts w:ascii="宋体" w:hAnsi="宋体" w:cs="宋体"/>
          <w:sz w:val="24"/>
        </w:rPr>
      </w:pPr>
      <w:r>
        <w:rPr>
          <w:rFonts w:hint="eastAsia" w:ascii="宋体" w:hAnsi="宋体" w:cs="宋体"/>
          <w:sz w:val="24"/>
        </w:rPr>
        <w:t xml:space="preserve">    13.7投标人认为有必要提供的其它资料或承诺等。</w:t>
      </w:r>
    </w:p>
    <w:p>
      <w:pPr>
        <w:spacing w:line="400" w:lineRule="exact"/>
        <w:ind w:firstLine="482" w:firstLineChars="200"/>
        <w:rPr>
          <w:rFonts w:ascii="宋体" w:hAnsi="宋体" w:cs="宋体"/>
          <w:b/>
          <w:bCs/>
          <w:sz w:val="24"/>
        </w:rPr>
      </w:pPr>
      <w:r>
        <w:rPr>
          <w:rFonts w:hint="eastAsia" w:ascii="宋体" w:hAnsi="宋体" w:cs="宋体"/>
          <w:b/>
          <w:bCs/>
          <w:sz w:val="24"/>
        </w:rPr>
        <w:t>13.8其它说明</w:t>
      </w:r>
    </w:p>
    <w:p>
      <w:pPr>
        <w:spacing w:line="400" w:lineRule="exact"/>
        <w:ind w:firstLine="480" w:firstLineChars="200"/>
        <w:rPr>
          <w:rFonts w:ascii="宋体" w:hAnsi="宋体" w:cs="宋体"/>
          <w:sz w:val="24"/>
        </w:rPr>
      </w:pPr>
      <w:r>
        <w:rPr>
          <w:rFonts w:hint="eastAsia" w:ascii="宋体" w:hAnsi="宋体" w:cs="宋体"/>
          <w:sz w:val="24"/>
        </w:rPr>
        <w:t>13.8.1投标人投标时提供被授权人和拟派项目负责人的身份证原件。</w:t>
      </w:r>
    </w:p>
    <w:p>
      <w:pPr>
        <w:spacing w:line="400" w:lineRule="exact"/>
        <w:ind w:firstLine="480" w:firstLineChars="200"/>
        <w:rPr>
          <w:rFonts w:ascii="宋体" w:hAnsi="宋体" w:cs="宋体"/>
          <w:sz w:val="24"/>
        </w:rPr>
      </w:pPr>
      <w:r>
        <w:rPr>
          <w:rFonts w:hint="eastAsia" w:ascii="宋体" w:hAnsi="宋体" w:cs="宋体"/>
          <w:sz w:val="24"/>
        </w:rPr>
        <w:t>13.8.2营业业绩部分，在高校进行经营并享受国家免税政策的投标人，须提供2018年1月1日至2018年12月31日期间的高校营业流水，并由高校食堂管理部门负责人签字后加盖高校食堂管理部门公章，营业流水上应当注明签字人的职务和联系电话备核。</w:t>
      </w:r>
    </w:p>
    <w:p>
      <w:pPr>
        <w:spacing w:line="400" w:lineRule="exact"/>
        <w:ind w:firstLine="480" w:firstLineChars="200"/>
        <w:rPr>
          <w:rFonts w:ascii="宋体" w:hAnsi="宋体" w:cs="宋体"/>
          <w:sz w:val="24"/>
        </w:rPr>
      </w:pPr>
      <w:r>
        <w:rPr>
          <w:rFonts w:hint="eastAsia" w:ascii="宋体" w:hAnsi="宋体" w:cs="宋体"/>
          <w:sz w:val="24"/>
        </w:rPr>
        <w:t>13.8.3企业信誉部分的证明材料，需要提供开户行开具的开户证明、近半年账户流水，并加盖银行公章。</w:t>
      </w:r>
    </w:p>
    <w:p>
      <w:pPr>
        <w:spacing w:line="400" w:lineRule="exact"/>
        <w:ind w:firstLine="480" w:firstLineChars="200"/>
        <w:rPr>
          <w:rFonts w:ascii="宋体" w:hAnsi="宋体" w:cs="宋体"/>
          <w:sz w:val="24"/>
        </w:rPr>
      </w:pPr>
      <w:r>
        <w:rPr>
          <w:rFonts w:hint="eastAsia" w:ascii="宋体" w:hAnsi="宋体" w:cs="宋体"/>
          <w:sz w:val="24"/>
        </w:rPr>
        <w:t>13.8.4管理经历部分，投标人应当提供餐饮企业管理经理所在公司开具的工作年限证明，并同时提供与工作年限等长的社保缴费证明，加盖餐饮公司和国家社保部门的公章。</w:t>
      </w:r>
    </w:p>
    <w:p>
      <w:pPr>
        <w:spacing w:line="400" w:lineRule="exact"/>
        <w:rPr>
          <w:rFonts w:ascii="宋体" w:hAnsi="宋体" w:cs="宋体"/>
          <w:sz w:val="24"/>
        </w:rPr>
      </w:pPr>
      <w:r>
        <w:rPr>
          <w:rFonts w:hint="eastAsia" w:ascii="宋体" w:hAnsi="宋体" w:cs="宋体"/>
          <w:sz w:val="24"/>
        </w:rPr>
        <w:t xml:space="preserve">    </w:t>
      </w:r>
      <w:r>
        <w:rPr>
          <w:rFonts w:hint="eastAsia" w:ascii="宋体" w:hAnsi="宋体" w:cs="宋体"/>
          <w:b/>
          <w:bCs/>
          <w:sz w:val="24"/>
        </w:rPr>
        <w:t>14.投标文件的要求</w:t>
      </w:r>
    </w:p>
    <w:p>
      <w:pPr>
        <w:spacing w:line="400" w:lineRule="exact"/>
        <w:rPr>
          <w:rFonts w:ascii="宋体" w:hAnsi="宋体" w:cs="宋体"/>
          <w:sz w:val="24"/>
        </w:rPr>
      </w:pPr>
      <w:r>
        <w:rPr>
          <w:rFonts w:hint="eastAsia" w:ascii="宋体" w:hAnsi="宋体" w:cs="宋体"/>
          <w:sz w:val="24"/>
        </w:rPr>
        <w:t xml:space="preserve">    14.1 投标人应依照招标文件中投标文件格式填写，并真正对招标文件的要求做实质性的响应。</w:t>
      </w:r>
    </w:p>
    <w:p>
      <w:pPr>
        <w:spacing w:line="400" w:lineRule="exact"/>
        <w:rPr>
          <w:rFonts w:ascii="宋体" w:hAnsi="宋体" w:cs="宋体"/>
          <w:sz w:val="24"/>
        </w:rPr>
      </w:pPr>
      <w:r>
        <w:rPr>
          <w:rFonts w:hint="eastAsia" w:ascii="宋体" w:hAnsi="宋体" w:cs="宋体"/>
          <w:sz w:val="24"/>
        </w:rPr>
        <w:t xml:space="preserve">    14.2 投标人必须按照招标文件要求，正面回答所有的问题，并按所附格式要求正式签署。</w:t>
      </w:r>
    </w:p>
    <w:p>
      <w:pPr>
        <w:spacing w:line="400" w:lineRule="exact"/>
        <w:rPr>
          <w:rFonts w:ascii="宋体" w:hAnsi="宋体" w:cs="宋体"/>
          <w:b/>
          <w:bCs/>
          <w:sz w:val="24"/>
        </w:rPr>
      </w:pPr>
      <w:r>
        <w:rPr>
          <w:rFonts w:hint="eastAsia" w:ascii="宋体" w:hAnsi="宋体" w:cs="宋体"/>
          <w:b/>
          <w:bCs/>
          <w:sz w:val="24"/>
        </w:rPr>
        <w:t xml:space="preserve">    15.投标报价</w:t>
      </w:r>
    </w:p>
    <w:p>
      <w:pPr>
        <w:spacing w:line="400" w:lineRule="exact"/>
        <w:ind w:firstLine="420" w:firstLineChars="175"/>
        <w:rPr>
          <w:rFonts w:ascii="宋体" w:hAnsi="宋体" w:cs="宋体"/>
          <w:sz w:val="24"/>
        </w:rPr>
      </w:pPr>
      <w:r>
        <w:rPr>
          <w:rFonts w:hint="eastAsia" w:ascii="宋体" w:hAnsi="宋体" w:cs="宋体"/>
          <w:sz w:val="24"/>
        </w:rPr>
        <w:t>本项目无投标报价,经营指标要求和缴纳费用详见招标文件的第二部分。</w:t>
      </w:r>
    </w:p>
    <w:p>
      <w:pPr>
        <w:spacing w:line="400" w:lineRule="exact"/>
        <w:jc w:val="left"/>
        <w:rPr>
          <w:rFonts w:ascii="宋体" w:hAnsi="宋体" w:cs="宋体"/>
          <w:b/>
          <w:bCs/>
          <w:sz w:val="24"/>
        </w:rPr>
      </w:pPr>
      <w:r>
        <w:rPr>
          <w:rFonts w:hint="eastAsia" w:ascii="宋体" w:hAnsi="宋体" w:cs="宋体"/>
          <w:b/>
          <w:bCs/>
          <w:sz w:val="24"/>
        </w:rPr>
        <w:t xml:space="preserve">    16.投标文件中的货币</w:t>
      </w:r>
    </w:p>
    <w:p>
      <w:pPr>
        <w:tabs>
          <w:tab w:val="left" w:pos="360"/>
          <w:tab w:val="left" w:pos="840"/>
        </w:tabs>
        <w:spacing w:line="400" w:lineRule="exact"/>
        <w:rPr>
          <w:rFonts w:ascii="宋体" w:hAnsi="宋体" w:cs="宋体"/>
          <w:sz w:val="24"/>
        </w:rPr>
      </w:pPr>
      <w:r>
        <w:rPr>
          <w:rFonts w:hint="eastAsia" w:ascii="宋体" w:hAnsi="宋体" w:cs="宋体"/>
          <w:sz w:val="24"/>
        </w:rPr>
        <w:t xml:space="preserve">    人民币。</w:t>
      </w:r>
    </w:p>
    <w:p>
      <w:pPr>
        <w:spacing w:line="400" w:lineRule="exact"/>
        <w:ind w:firstLine="481"/>
        <w:rPr>
          <w:rFonts w:ascii="宋体" w:hAnsi="宋体" w:cs="宋体"/>
          <w:b/>
          <w:bCs/>
          <w:sz w:val="24"/>
        </w:rPr>
      </w:pPr>
      <w:r>
        <w:rPr>
          <w:rFonts w:hint="eastAsia" w:ascii="宋体" w:hAnsi="宋体" w:cs="宋体"/>
          <w:b/>
          <w:bCs/>
          <w:sz w:val="24"/>
        </w:rPr>
        <w:t>17.资格文件</w:t>
      </w:r>
    </w:p>
    <w:p>
      <w:pPr>
        <w:spacing w:line="400" w:lineRule="exact"/>
        <w:ind w:firstLine="481"/>
        <w:rPr>
          <w:rFonts w:ascii="宋体" w:hAnsi="宋体" w:cs="宋体"/>
          <w:sz w:val="24"/>
        </w:rPr>
      </w:pPr>
      <w:r>
        <w:rPr>
          <w:rFonts w:hint="eastAsia" w:ascii="宋体" w:hAnsi="宋体" w:cs="宋体"/>
          <w:sz w:val="24"/>
        </w:rPr>
        <w:t>投标人应提交证明其有资格参加投标和中标后有能力履行合同的文件，并作为其投标文件的一部分。</w:t>
      </w:r>
    </w:p>
    <w:p>
      <w:pPr>
        <w:spacing w:line="400" w:lineRule="exact"/>
        <w:rPr>
          <w:rFonts w:ascii="宋体" w:hAnsi="宋体" w:cs="宋体"/>
          <w:b/>
          <w:bCs/>
          <w:sz w:val="24"/>
        </w:rPr>
      </w:pPr>
      <w:r>
        <w:rPr>
          <w:rFonts w:hint="eastAsia" w:ascii="宋体" w:hAnsi="宋体" w:cs="宋体"/>
          <w:b/>
          <w:bCs/>
          <w:sz w:val="24"/>
        </w:rPr>
        <w:t xml:space="preserve">    18.知识产权</w:t>
      </w:r>
    </w:p>
    <w:p>
      <w:pPr>
        <w:spacing w:line="400" w:lineRule="exact"/>
        <w:rPr>
          <w:rFonts w:ascii="宋体" w:hAnsi="宋体" w:cs="宋体"/>
          <w:b/>
          <w:sz w:val="24"/>
        </w:rPr>
      </w:pPr>
      <w:r>
        <w:rPr>
          <w:rFonts w:hint="eastAsia" w:ascii="宋体" w:hAnsi="宋体" w:cs="宋体"/>
          <w:sz w:val="24"/>
        </w:rPr>
        <w:t xml:space="preserve">    </w:t>
      </w:r>
      <w:r>
        <w:rPr>
          <w:rFonts w:hint="eastAsia" w:ascii="宋体" w:hAnsi="宋体" w:cs="宋体"/>
          <w:b/>
          <w:sz w:val="24"/>
        </w:rPr>
        <w:t>投标人应保证向招标人提供的装修设计方案等著作权是合法的，受到国家知识产权法律法规的保护，免受第三方侵权及纠纷。无论是哪一个投标人中标，其他未中标投标人提供的装修方案，招标方均可免费使用。</w:t>
      </w:r>
    </w:p>
    <w:p>
      <w:pPr>
        <w:spacing w:line="400" w:lineRule="exact"/>
        <w:rPr>
          <w:rFonts w:ascii="宋体" w:hAnsi="宋体" w:cs="宋体"/>
          <w:b/>
          <w:bCs/>
          <w:sz w:val="24"/>
        </w:rPr>
      </w:pPr>
      <w:r>
        <w:rPr>
          <w:rFonts w:hint="eastAsia" w:ascii="宋体" w:hAnsi="宋体" w:cs="宋体"/>
          <w:b/>
          <w:bCs/>
          <w:sz w:val="24"/>
        </w:rPr>
        <w:t xml:space="preserve">    19.投标保证金</w:t>
      </w:r>
    </w:p>
    <w:p>
      <w:pPr>
        <w:spacing w:line="400" w:lineRule="exact"/>
        <w:rPr>
          <w:rFonts w:ascii="宋体" w:hAnsi="宋体" w:cs="宋体"/>
          <w:sz w:val="24"/>
        </w:rPr>
      </w:pPr>
      <w:r>
        <w:rPr>
          <w:rFonts w:hint="eastAsia" w:ascii="宋体" w:hAnsi="宋体" w:cs="宋体"/>
          <w:sz w:val="24"/>
        </w:rPr>
        <w:t xml:space="preserve">    19.1投标人按招标文件《前附表》规定的金额和期限交纳投标保证金。</w:t>
      </w:r>
    </w:p>
    <w:p>
      <w:pPr>
        <w:spacing w:line="400" w:lineRule="exact"/>
        <w:rPr>
          <w:rFonts w:ascii="宋体" w:hAnsi="宋体" w:cs="宋体"/>
          <w:sz w:val="24"/>
        </w:rPr>
      </w:pPr>
      <w:r>
        <w:rPr>
          <w:rFonts w:hint="eastAsia" w:ascii="宋体" w:hAnsi="宋体" w:cs="宋体"/>
          <w:sz w:val="24"/>
        </w:rPr>
        <w:t xml:space="preserve">    19.2投标保证金采取现金缴纳的方式，投标人将保证金密封在信封内并加盖骑缝公章，在投标时现场缴纳。</w:t>
      </w:r>
    </w:p>
    <w:p>
      <w:pPr>
        <w:spacing w:line="400" w:lineRule="exact"/>
        <w:rPr>
          <w:rFonts w:ascii="宋体" w:hAnsi="宋体" w:cs="宋体"/>
          <w:sz w:val="24"/>
        </w:rPr>
      </w:pPr>
      <w:r>
        <w:rPr>
          <w:rFonts w:hint="eastAsia" w:ascii="宋体" w:hAnsi="宋体" w:cs="宋体"/>
          <w:sz w:val="24"/>
        </w:rPr>
        <w:t xml:space="preserve">    19.3未中标的投标人的保证金，将现场原额退还（不计利息）。中标人的投标保证金将在签订合同后且缴纳合同履约金后一周内退还。</w:t>
      </w:r>
    </w:p>
    <w:p>
      <w:pPr>
        <w:spacing w:line="400" w:lineRule="exact"/>
        <w:rPr>
          <w:rFonts w:ascii="宋体" w:hAnsi="宋体" w:cs="宋体"/>
          <w:sz w:val="24"/>
        </w:rPr>
      </w:pPr>
      <w:r>
        <w:rPr>
          <w:rFonts w:hint="eastAsia" w:ascii="宋体" w:hAnsi="宋体" w:cs="宋体"/>
          <w:sz w:val="24"/>
        </w:rPr>
        <w:t xml:space="preserve">    19.4下列任何一种情况发生时，投标保证金将被没收：</w:t>
      </w:r>
    </w:p>
    <w:p>
      <w:pPr>
        <w:spacing w:line="400" w:lineRule="exact"/>
        <w:rPr>
          <w:rFonts w:ascii="宋体" w:hAnsi="宋体" w:cs="宋体"/>
          <w:sz w:val="24"/>
        </w:rPr>
      </w:pPr>
      <w:r>
        <w:rPr>
          <w:rFonts w:hint="eastAsia" w:ascii="宋体" w:hAnsi="宋体" w:cs="宋体"/>
          <w:sz w:val="24"/>
        </w:rPr>
        <w:t xml:space="preserve">   （1）投标人在投标文件中规定的投标有效期内撤回其投标；</w:t>
      </w:r>
    </w:p>
    <w:p>
      <w:pPr>
        <w:spacing w:line="400" w:lineRule="exact"/>
        <w:rPr>
          <w:rFonts w:ascii="宋体" w:hAnsi="宋体" w:cs="宋体"/>
          <w:sz w:val="24"/>
        </w:rPr>
      </w:pPr>
      <w:r>
        <w:rPr>
          <w:rFonts w:hint="eastAsia" w:ascii="宋体" w:hAnsi="宋体" w:cs="宋体"/>
          <w:sz w:val="24"/>
        </w:rPr>
        <w:t xml:space="preserve">   （2）中标人在规定期限内未能和招标人签订合同；</w:t>
      </w:r>
    </w:p>
    <w:p>
      <w:pPr>
        <w:spacing w:line="400" w:lineRule="exact"/>
        <w:rPr>
          <w:rFonts w:ascii="宋体" w:hAnsi="宋体" w:cs="宋体"/>
          <w:sz w:val="24"/>
        </w:rPr>
      </w:pPr>
      <w:r>
        <w:rPr>
          <w:rFonts w:hint="eastAsia" w:ascii="宋体" w:hAnsi="宋体" w:cs="宋体"/>
          <w:sz w:val="24"/>
        </w:rPr>
        <w:t xml:space="preserve">   （3）投标人在投标过程中提供虚假材料。</w:t>
      </w:r>
    </w:p>
    <w:p>
      <w:pPr>
        <w:spacing w:line="400" w:lineRule="exact"/>
        <w:rPr>
          <w:rFonts w:ascii="宋体" w:hAnsi="宋体" w:cs="宋体"/>
          <w:sz w:val="24"/>
        </w:rPr>
      </w:pPr>
      <w:r>
        <w:rPr>
          <w:rFonts w:hint="eastAsia" w:ascii="宋体" w:hAnsi="宋体" w:cs="宋体"/>
          <w:sz w:val="24"/>
        </w:rPr>
        <w:t xml:space="preserve">    20.投标文件在投标截止日后的90天内保持有效。特殊情况下在原有投标有效期截止之前，招标人可征求投标人同意延长投标有效期。</w:t>
      </w:r>
    </w:p>
    <w:p>
      <w:pPr>
        <w:spacing w:line="400" w:lineRule="exact"/>
        <w:rPr>
          <w:rFonts w:ascii="宋体" w:hAnsi="宋体" w:cs="宋体"/>
          <w:sz w:val="24"/>
        </w:rPr>
      </w:pPr>
      <w:r>
        <w:rPr>
          <w:rFonts w:hint="eastAsia" w:ascii="宋体" w:hAnsi="宋体" w:cs="宋体"/>
          <w:sz w:val="24"/>
        </w:rPr>
        <w:t xml:space="preserve">    21.投标文件的数量,投标人应准备投标文件1份(正本)，6份(副本)。每份投标文件清楚标明“正本”或“副本”，一旦“正本”和“副本”不符，以“正本”为准。</w:t>
      </w:r>
    </w:p>
    <w:p>
      <w:pPr>
        <w:spacing w:line="400" w:lineRule="exact"/>
        <w:jc w:val="left"/>
        <w:rPr>
          <w:rFonts w:ascii="宋体" w:hAnsi="宋体" w:cs="宋体"/>
          <w:b/>
          <w:sz w:val="24"/>
        </w:rPr>
      </w:pPr>
      <w:r>
        <w:rPr>
          <w:rFonts w:hint="eastAsia" w:ascii="宋体" w:hAnsi="宋体" w:cs="宋体"/>
          <w:sz w:val="24"/>
        </w:rPr>
        <w:t xml:space="preserve">    22.投标文件的任何行间插字、涂改和增删，必须由法定代表人或经其正式授权的代表签字或加盖法人公章才有效。 投标文件的封面须由投标人加盖投标人法人公章。</w:t>
      </w:r>
    </w:p>
    <w:p>
      <w:pPr>
        <w:spacing w:line="400" w:lineRule="exact"/>
        <w:rPr>
          <w:rFonts w:ascii="宋体" w:hAnsi="宋体" w:cs="宋体"/>
          <w:b/>
          <w:bCs/>
          <w:sz w:val="24"/>
        </w:rPr>
      </w:pPr>
      <w:r>
        <w:rPr>
          <w:rFonts w:hint="eastAsia" w:ascii="宋体" w:hAnsi="宋体" w:cs="宋体"/>
          <w:b/>
          <w:sz w:val="24"/>
        </w:rPr>
        <w:t xml:space="preserve">    </w:t>
      </w:r>
      <w:r>
        <w:rPr>
          <w:rFonts w:hint="eastAsia" w:ascii="宋体" w:hAnsi="宋体" w:cs="宋体"/>
          <w:b/>
          <w:bCs/>
          <w:sz w:val="24"/>
        </w:rPr>
        <w:t>23.投标文件的密封和标记</w:t>
      </w:r>
    </w:p>
    <w:p>
      <w:pPr>
        <w:tabs>
          <w:tab w:val="left" w:pos="360"/>
          <w:tab w:val="left" w:pos="540"/>
          <w:tab w:val="left" w:pos="900"/>
        </w:tabs>
        <w:spacing w:line="400" w:lineRule="exact"/>
        <w:ind w:firstLine="480"/>
        <w:rPr>
          <w:rFonts w:ascii="宋体" w:hAnsi="宋体" w:cs="宋体"/>
          <w:b/>
          <w:sz w:val="24"/>
          <w:u w:val="single"/>
        </w:rPr>
      </w:pPr>
      <w:r>
        <w:rPr>
          <w:rFonts w:hint="eastAsia" w:ascii="宋体" w:hAnsi="宋体" w:cs="宋体"/>
          <w:b/>
          <w:sz w:val="24"/>
        </w:rPr>
        <w:t>23.1投标文件统一按A4规格幅面，并统一按照规定的顺序编目编码、装订成册，</w:t>
      </w:r>
      <w:r>
        <w:rPr>
          <w:rFonts w:hint="eastAsia" w:ascii="宋体" w:hAnsi="宋体" w:cs="宋体"/>
          <w:b/>
          <w:sz w:val="24"/>
          <w:u w:val="single"/>
        </w:rPr>
        <w:t>并编制目录，在每页按顺序打印页码，在书脊部位竖向打印项目名称、项目编号、投标单位。所有标书统一密封为一包，密封的第一本应为正本。</w:t>
      </w:r>
    </w:p>
    <w:p>
      <w:pPr>
        <w:spacing w:line="400" w:lineRule="exact"/>
        <w:rPr>
          <w:rFonts w:ascii="宋体" w:hAnsi="宋体" w:cs="宋体"/>
          <w:sz w:val="24"/>
        </w:rPr>
      </w:pPr>
      <w:r>
        <w:rPr>
          <w:rFonts w:hint="eastAsia" w:ascii="宋体" w:hAnsi="宋体" w:cs="宋体"/>
          <w:sz w:val="24"/>
        </w:rPr>
        <w:t xml:space="preserve">    23.2 封套清楚标明：</w:t>
      </w:r>
    </w:p>
    <w:p>
      <w:pPr>
        <w:spacing w:line="400" w:lineRule="exact"/>
        <w:ind w:left="907" w:leftChars="400" w:hanging="67" w:hangingChars="28"/>
        <w:rPr>
          <w:rFonts w:ascii="宋体" w:hAnsi="宋体" w:cs="宋体"/>
          <w:sz w:val="24"/>
        </w:rPr>
      </w:pPr>
      <w:r>
        <w:rPr>
          <w:rFonts w:hint="eastAsia" w:ascii="宋体" w:hAnsi="宋体" w:cs="宋体"/>
          <w:sz w:val="24"/>
        </w:rPr>
        <w:t>“收件人：</w:t>
      </w:r>
    </w:p>
    <w:p>
      <w:pPr>
        <w:spacing w:line="400" w:lineRule="exact"/>
        <w:ind w:left="1027" w:hanging="1027" w:hangingChars="428"/>
        <w:rPr>
          <w:rFonts w:ascii="宋体" w:hAnsi="宋体" w:cs="宋体"/>
          <w:sz w:val="24"/>
        </w:rPr>
      </w:pPr>
      <w:r>
        <w:rPr>
          <w:rFonts w:hint="eastAsia" w:ascii="宋体" w:hAnsi="宋体" w:cs="宋体"/>
          <w:sz w:val="24"/>
        </w:rPr>
        <w:tab/>
      </w:r>
      <w:r>
        <w:rPr>
          <w:rFonts w:hint="eastAsia" w:ascii="宋体" w:hAnsi="宋体" w:cs="宋体"/>
          <w:sz w:val="24"/>
        </w:rPr>
        <w:t xml:space="preserve"> 投标项目名称、招标编号：</w:t>
      </w:r>
      <w:r>
        <w:rPr>
          <w:rFonts w:hint="eastAsia" w:ascii="宋体" w:hAnsi="宋体" w:cs="宋体"/>
          <w:sz w:val="24"/>
          <w:u w:val="single"/>
        </w:rPr>
        <w:t xml:space="preserve">                   </w:t>
      </w:r>
    </w:p>
    <w:p>
      <w:pPr>
        <w:spacing w:line="400" w:lineRule="exact"/>
        <w:ind w:left="540" w:leftChars="257" w:firstLine="480" w:firstLineChars="200"/>
        <w:rPr>
          <w:rFonts w:ascii="宋体" w:hAnsi="宋体" w:cs="宋体"/>
          <w:sz w:val="24"/>
        </w:rPr>
      </w:pPr>
      <w:r>
        <w:rPr>
          <w:rFonts w:hint="eastAsia" w:ascii="宋体" w:hAnsi="宋体" w:cs="宋体"/>
          <w:sz w:val="24"/>
        </w:rPr>
        <w:t>在（</w:t>
      </w:r>
      <w:r>
        <w:rPr>
          <w:rFonts w:hint="eastAsia" w:ascii="宋体" w:hAnsi="宋体" w:cs="宋体"/>
          <w:sz w:val="24"/>
          <w:u w:val="single"/>
        </w:rPr>
        <w:t>按招标文件中规定的开标日期和时点注明</w:t>
      </w:r>
      <w:r>
        <w:rPr>
          <w:rFonts w:hint="eastAsia" w:ascii="宋体" w:hAnsi="宋体" w:cs="宋体"/>
          <w:sz w:val="24"/>
        </w:rPr>
        <w:t>）之前不得启封”的字样。</w:t>
      </w:r>
    </w:p>
    <w:p>
      <w:pPr>
        <w:spacing w:line="400" w:lineRule="exact"/>
        <w:rPr>
          <w:rFonts w:ascii="宋体" w:hAnsi="宋体" w:cs="宋体"/>
          <w:sz w:val="24"/>
        </w:rPr>
      </w:pPr>
      <w:r>
        <w:rPr>
          <w:rFonts w:hint="eastAsia" w:ascii="宋体" w:hAnsi="宋体" w:cs="宋体"/>
          <w:sz w:val="24"/>
        </w:rPr>
        <w:t xml:space="preserve">    23.3 投标文件应密封后递交，如封套未按要求密封，招标人对误投或过早启封概不负责。</w:t>
      </w:r>
    </w:p>
    <w:p>
      <w:pPr>
        <w:spacing w:line="400" w:lineRule="exact"/>
        <w:jc w:val="left"/>
        <w:rPr>
          <w:rFonts w:ascii="宋体" w:hAnsi="宋体" w:cs="宋体"/>
          <w:sz w:val="24"/>
        </w:rPr>
      </w:pPr>
      <w:r>
        <w:rPr>
          <w:rFonts w:hint="eastAsia" w:ascii="宋体" w:hAnsi="宋体" w:cs="宋体"/>
          <w:b/>
          <w:sz w:val="24"/>
        </w:rPr>
        <w:t xml:space="preserve">  </w:t>
      </w:r>
      <w:r>
        <w:rPr>
          <w:rFonts w:hint="eastAsia" w:ascii="宋体" w:hAnsi="宋体" w:cs="宋体"/>
          <w:sz w:val="24"/>
        </w:rPr>
        <w:t xml:space="preserve">  23.4不按要求提交投标文件的，我办工作人员有权拒绝接收。</w:t>
      </w:r>
    </w:p>
    <w:p>
      <w:pPr>
        <w:spacing w:line="400" w:lineRule="exact"/>
        <w:jc w:val="left"/>
        <w:rPr>
          <w:rFonts w:ascii="宋体" w:hAnsi="宋体" w:cs="宋体"/>
          <w:sz w:val="24"/>
        </w:rPr>
      </w:pPr>
      <w:r>
        <w:rPr>
          <w:rFonts w:hint="eastAsia" w:ascii="宋体" w:hAnsi="宋体" w:cs="宋体"/>
          <w:sz w:val="24"/>
        </w:rPr>
        <w:t xml:space="preserve">    24.投标文件的递交。所有投标文件应在规定的投标截止时间前送到开标地点。</w:t>
      </w:r>
    </w:p>
    <w:p>
      <w:pPr>
        <w:spacing w:line="400" w:lineRule="exact"/>
        <w:jc w:val="left"/>
        <w:rPr>
          <w:rFonts w:ascii="宋体" w:hAnsi="宋体" w:cs="宋体"/>
          <w:b/>
          <w:bCs/>
          <w:sz w:val="24"/>
        </w:rPr>
      </w:pPr>
      <w:r>
        <w:rPr>
          <w:rFonts w:hint="eastAsia" w:ascii="宋体" w:hAnsi="宋体" w:cs="宋体"/>
          <w:sz w:val="24"/>
        </w:rPr>
        <w:t xml:space="preserve">    25.投标文件的修改与撤回。投标人在递交投标文件后，在投标截止时间前投标人可以修改其投标，但必须以书面形式（密封同投标文件）送达招标人，并在信袋上注明“投标修改”和“开标前不得开封”字样。投标截止时间不得修改其投标。投标人可以在投标截止时间前撤回其投标。</w:t>
      </w:r>
    </w:p>
    <w:p>
      <w:pPr>
        <w:spacing w:line="400" w:lineRule="exact"/>
        <w:jc w:val="center"/>
        <w:outlineLvl w:val="1"/>
        <w:rPr>
          <w:rFonts w:ascii="宋体" w:hAnsi="宋体" w:cs="宋体"/>
          <w:b/>
          <w:sz w:val="24"/>
        </w:rPr>
      </w:pPr>
      <w:r>
        <w:rPr>
          <w:rFonts w:hint="eastAsia" w:ascii="宋体" w:hAnsi="宋体" w:cs="宋体"/>
          <w:b/>
          <w:sz w:val="24"/>
        </w:rPr>
        <w:t>五、开标与评标</w:t>
      </w:r>
    </w:p>
    <w:p>
      <w:pPr>
        <w:spacing w:line="400" w:lineRule="exact"/>
        <w:jc w:val="left"/>
        <w:rPr>
          <w:rFonts w:ascii="宋体" w:hAnsi="宋体" w:cs="宋体"/>
          <w:sz w:val="24"/>
        </w:rPr>
      </w:pPr>
      <w:r>
        <w:rPr>
          <w:rFonts w:hint="eastAsia" w:ascii="宋体" w:hAnsi="宋体" w:cs="宋体"/>
          <w:sz w:val="24"/>
        </w:rPr>
        <w:t xml:space="preserve">    26.开标</w:t>
      </w:r>
    </w:p>
    <w:p>
      <w:pPr>
        <w:spacing w:line="400" w:lineRule="exact"/>
        <w:jc w:val="left"/>
        <w:rPr>
          <w:rFonts w:ascii="宋体" w:hAnsi="宋体" w:cs="宋体"/>
          <w:sz w:val="24"/>
        </w:rPr>
      </w:pPr>
      <w:r>
        <w:rPr>
          <w:rFonts w:hint="eastAsia" w:ascii="宋体" w:hAnsi="宋体" w:cs="宋体"/>
          <w:sz w:val="24"/>
        </w:rPr>
        <w:t xml:space="preserve">    26.1开标将由我校监督部门监督，由招标办统一组织，投标人应准时参加开标。</w:t>
      </w:r>
    </w:p>
    <w:p>
      <w:pPr>
        <w:spacing w:line="400" w:lineRule="exact"/>
        <w:jc w:val="left"/>
        <w:rPr>
          <w:rFonts w:ascii="宋体" w:hAnsi="宋体" w:cs="宋体"/>
          <w:sz w:val="24"/>
        </w:rPr>
      </w:pPr>
      <w:r>
        <w:rPr>
          <w:rFonts w:hint="eastAsia" w:ascii="宋体" w:hAnsi="宋体" w:cs="宋体"/>
          <w:sz w:val="24"/>
        </w:rPr>
        <w:t xml:space="preserve">    26.2开标时，投标人须到开标现场参加开标。</w:t>
      </w:r>
    </w:p>
    <w:p>
      <w:pPr>
        <w:spacing w:line="400" w:lineRule="exact"/>
        <w:jc w:val="left"/>
        <w:rPr>
          <w:rFonts w:ascii="宋体" w:hAnsi="宋体" w:cs="宋体"/>
          <w:sz w:val="24"/>
        </w:rPr>
      </w:pPr>
      <w:r>
        <w:rPr>
          <w:rFonts w:hint="eastAsia" w:ascii="宋体" w:hAnsi="宋体" w:cs="宋体"/>
          <w:sz w:val="24"/>
        </w:rPr>
        <w:t xml:space="preserve">    27.答辩</w:t>
      </w:r>
    </w:p>
    <w:p>
      <w:pPr>
        <w:spacing w:line="400" w:lineRule="exact"/>
        <w:jc w:val="left"/>
        <w:rPr>
          <w:rFonts w:ascii="宋体" w:hAnsi="宋体" w:cs="宋体"/>
          <w:sz w:val="24"/>
        </w:rPr>
      </w:pPr>
      <w:r>
        <w:rPr>
          <w:rFonts w:hint="eastAsia" w:ascii="宋体" w:hAnsi="宋体" w:cs="宋体"/>
          <w:sz w:val="24"/>
        </w:rPr>
        <w:t xml:space="preserve">    27.1每个投标人都需参加一次答辩。投标人应按招标文件规定的时间、地点，由法定代表人或其授权代表参加。</w:t>
      </w:r>
    </w:p>
    <w:p>
      <w:pPr>
        <w:spacing w:line="400" w:lineRule="exact"/>
        <w:jc w:val="left"/>
        <w:rPr>
          <w:rFonts w:ascii="宋体" w:hAnsi="宋体" w:cs="宋体"/>
          <w:sz w:val="24"/>
        </w:rPr>
      </w:pPr>
      <w:r>
        <w:rPr>
          <w:rFonts w:hint="eastAsia" w:ascii="宋体" w:hAnsi="宋体" w:cs="宋体"/>
          <w:sz w:val="24"/>
        </w:rPr>
        <w:t xml:space="preserve">    27.2如果评标小组确认需要投标人就投标文件中的相关问题作出补正，须由投标人代表签字确认。</w:t>
      </w:r>
    </w:p>
    <w:p>
      <w:pPr>
        <w:spacing w:line="400" w:lineRule="exact"/>
        <w:jc w:val="left"/>
        <w:rPr>
          <w:rFonts w:ascii="宋体" w:hAnsi="宋体" w:cs="宋体"/>
          <w:sz w:val="24"/>
        </w:rPr>
      </w:pPr>
      <w:r>
        <w:rPr>
          <w:rFonts w:hint="eastAsia" w:ascii="宋体" w:hAnsi="宋体" w:cs="宋体"/>
          <w:sz w:val="24"/>
        </w:rPr>
        <w:t xml:space="preserve">    27.3评标过程中，如果评标小组对本招标文件实质性内容作出变更，招标人将通知所有参加投标的合格投标人，使每个投标人均有同等机会根据修改后的招标条件提交新的方案。</w:t>
      </w:r>
    </w:p>
    <w:p>
      <w:pPr>
        <w:spacing w:line="400" w:lineRule="exact"/>
        <w:jc w:val="left"/>
        <w:rPr>
          <w:rFonts w:ascii="宋体" w:hAnsi="宋体" w:cs="宋体"/>
          <w:sz w:val="24"/>
        </w:rPr>
      </w:pPr>
      <w:r>
        <w:rPr>
          <w:rFonts w:hint="eastAsia" w:ascii="宋体" w:hAnsi="宋体" w:cs="宋体"/>
          <w:sz w:val="24"/>
        </w:rPr>
        <w:t xml:space="preserve">    27.4每个投标人的答辩时间约10分钟。</w:t>
      </w:r>
    </w:p>
    <w:p>
      <w:pPr>
        <w:spacing w:line="400" w:lineRule="exact"/>
        <w:jc w:val="left"/>
        <w:rPr>
          <w:rFonts w:ascii="宋体" w:hAnsi="宋体" w:cs="宋体"/>
          <w:sz w:val="24"/>
        </w:rPr>
      </w:pPr>
      <w:r>
        <w:rPr>
          <w:rFonts w:hint="eastAsia" w:ascii="宋体" w:hAnsi="宋体" w:cs="宋体"/>
          <w:sz w:val="24"/>
        </w:rPr>
        <w:t xml:space="preserve">    28评标</w:t>
      </w:r>
    </w:p>
    <w:p>
      <w:pPr>
        <w:spacing w:line="400" w:lineRule="exact"/>
        <w:jc w:val="left"/>
        <w:rPr>
          <w:rFonts w:ascii="宋体" w:hAnsi="宋体" w:cs="宋体"/>
          <w:sz w:val="24"/>
        </w:rPr>
      </w:pPr>
      <w:r>
        <w:rPr>
          <w:rFonts w:hint="eastAsia" w:ascii="宋体" w:hAnsi="宋体" w:cs="宋体"/>
          <w:sz w:val="24"/>
        </w:rPr>
        <w:t xml:space="preserve">    28.1评标：在学校监督部门参与下，由我校招标办负责组建的评标小组本着公平、公正的原则，采用综合评分法，确定中标人。</w:t>
      </w:r>
    </w:p>
    <w:p>
      <w:pPr>
        <w:spacing w:line="400" w:lineRule="exact"/>
        <w:ind w:firstLine="480"/>
        <w:jc w:val="left"/>
        <w:rPr>
          <w:rFonts w:ascii="宋体" w:hAnsi="宋体" w:cs="宋体"/>
          <w:sz w:val="24"/>
        </w:rPr>
      </w:pPr>
      <w:r>
        <w:rPr>
          <w:rFonts w:hint="eastAsia" w:ascii="宋体" w:hAnsi="宋体" w:cs="宋体"/>
          <w:sz w:val="24"/>
        </w:rPr>
        <w:t>28.2总分值为100分。具体评分标准详见本招标文件附件。</w:t>
      </w:r>
    </w:p>
    <w:p>
      <w:pPr>
        <w:spacing w:line="400" w:lineRule="exact"/>
        <w:ind w:firstLine="480"/>
        <w:jc w:val="left"/>
        <w:rPr>
          <w:rFonts w:ascii="宋体" w:hAnsi="宋体" w:cs="宋体"/>
          <w:sz w:val="24"/>
        </w:rPr>
      </w:pPr>
      <w:r>
        <w:rPr>
          <w:rFonts w:hint="eastAsia" w:ascii="宋体" w:hAnsi="宋体" w:cs="宋体"/>
          <w:sz w:val="24"/>
        </w:rPr>
        <w:t>28.3评标小组将审查投标文件是否完整、有无计算上的错误、是否足额提交投标保证金、文件签署是否合格、投标文件是否编排有序、是否符合本文件要求。</w:t>
      </w:r>
    </w:p>
    <w:p>
      <w:pPr>
        <w:spacing w:line="400" w:lineRule="exact"/>
        <w:jc w:val="left"/>
        <w:rPr>
          <w:rFonts w:ascii="宋体" w:hAnsi="宋体" w:cs="宋体"/>
          <w:sz w:val="24"/>
        </w:rPr>
      </w:pPr>
      <w:r>
        <w:rPr>
          <w:rFonts w:hint="eastAsia" w:ascii="宋体" w:hAnsi="宋体" w:cs="宋体"/>
          <w:sz w:val="24"/>
        </w:rPr>
        <w:t xml:space="preserve">    28.4如果投标文件未实质性响应本招标文件的要求，评标小组将予以拒绝，投标人不得通过修改或撤销不合要求的偏离或保留而使其投标成为实质上响应的投标。</w:t>
      </w:r>
    </w:p>
    <w:p>
      <w:pPr>
        <w:spacing w:line="400" w:lineRule="exact"/>
        <w:jc w:val="left"/>
        <w:rPr>
          <w:rFonts w:ascii="宋体" w:hAnsi="宋体" w:cs="宋体"/>
          <w:sz w:val="24"/>
        </w:rPr>
      </w:pPr>
      <w:r>
        <w:rPr>
          <w:rFonts w:hint="eastAsia" w:ascii="宋体" w:hAnsi="宋体" w:cs="宋体"/>
          <w:sz w:val="24"/>
        </w:rPr>
        <w:t xml:space="preserve">    29.定标</w:t>
      </w:r>
    </w:p>
    <w:p>
      <w:pPr>
        <w:spacing w:line="400" w:lineRule="exact"/>
        <w:jc w:val="left"/>
        <w:rPr>
          <w:rFonts w:ascii="宋体" w:hAnsi="宋体" w:cs="宋体"/>
          <w:sz w:val="24"/>
        </w:rPr>
      </w:pPr>
      <w:r>
        <w:rPr>
          <w:rFonts w:hint="eastAsia" w:ascii="宋体" w:hAnsi="宋体" w:cs="宋体"/>
          <w:sz w:val="24"/>
        </w:rPr>
        <w:t xml:space="preserve">    评标小组将根据评标情况，按照总得分从高到低推荐一名中标候选人。</w:t>
      </w:r>
    </w:p>
    <w:p>
      <w:pPr>
        <w:spacing w:line="400" w:lineRule="exact"/>
        <w:jc w:val="left"/>
        <w:rPr>
          <w:rFonts w:ascii="宋体" w:hAnsi="宋体" w:cs="宋体"/>
          <w:sz w:val="24"/>
        </w:rPr>
      </w:pPr>
      <w:r>
        <w:rPr>
          <w:rFonts w:hint="eastAsia" w:ascii="宋体" w:hAnsi="宋体" w:cs="宋体"/>
          <w:sz w:val="24"/>
        </w:rPr>
        <w:t xml:space="preserve">    30.中标通知</w:t>
      </w:r>
    </w:p>
    <w:p>
      <w:pPr>
        <w:spacing w:line="400" w:lineRule="exact"/>
        <w:jc w:val="left"/>
        <w:rPr>
          <w:rFonts w:ascii="宋体" w:hAnsi="宋体" w:cs="宋体"/>
          <w:sz w:val="24"/>
        </w:rPr>
      </w:pPr>
      <w:r>
        <w:rPr>
          <w:rFonts w:hint="eastAsia" w:ascii="宋体" w:hAnsi="宋体" w:cs="宋体"/>
          <w:sz w:val="24"/>
        </w:rPr>
        <w:t xml:space="preserve">    30.1在确定中标候选人三日内，在江苏师范大学招标网（http://ztbb.jsnu.edu.cn）发布中标公告。</w:t>
      </w:r>
    </w:p>
    <w:p>
      <w:pPr>
        <w:spacing w:line="400" w:lineRule="exact"/>
        <w:jc w:val="left"/>
        <w:rPr>
          <w:rFonts w:ascii="宋体" w:hAnsi="宋体" w:cs="宋体"/>
          <w:sz w:val="24"/>
        </w:rPr>
      </w:pPr>
      <w:r>
        <w:rPr>
          <w:rFonts w:hint="eastAsia" w:ascii="宋体" w:hAnsi="宋体" w:cs="宋体"/>
          <w:sz w:val="24"/>
        </w:rPr>
        <w:t xml:space="preserve">    30.2.招标人对未中标的投标人不做未中标原因的解释。</w:t>
      </w:r>
    </w:p>
    <w:p>
      <w:pPr>
        <w:ind w:firstLine="480" w:firstLineChars="200"/>
        <w:rPr>
          <w:rFonts w:ascii="宋体" w:hAnsi="宋体" w:cs="宋体"/>
          <w:sz w:val="24"/>
        </w:rPr>
      </w:pPr>
      <w:r>
        <w:rPr>
          <w:rFonts w:hint="eastAsia" w:ascii="宋体" w:hAnsi="宋体" w:cs="宋体"/>
          <w:sz w:val="24"/>
        </w:rPr>
        <w:t>30.3.中标通知书是合同的组成部分。</w:t>
      </w:r>
    </w:p>
    <w:p>
      <w:pPr>
        <w:spacing w:line="400" w:lineRule="exact"/>
        <w:rPr>
          <w:rFonts w:ascii="宋体" w:hAnsi="宋体" w:cs="宋体"/>
          <w:sz w:val="24"/>
        </w:rPr>
      </w:pPr>
    </w:p>
    <w:p>
      <w:pPr>
        <w:spacing w:line="400" w:lineRule="exact"/>
        <w:jc w:val="center"/>
        <w:rPr>
          <w:b/>
          <w:bCs/>
          <w:sz w:val="36"/>
        </w:rPr>
      </w:pPr>
      <w:r>
        <w:rPr>
          <w:rFonts w:hint="eastAsia"/>
          <w:b/>
          <w:bCs/>
          <w:sz w:val="32"/>
          <w:szCs w:val="32"/>
        </w:rPr>
        <w:t>第二部分   项目概况及服务要求</w:t>
      </w:r>
    </w:p>
    <w:p/>
    <w:p>
      <w:pPr>
        <w:spacing w:line="400" w:lineRule="exact"/>
        <w:ind w:firstLine="482" w:firstLineChars="200"/>
        <w:jc w:val="left"/>
        <w:rPr>
          <w:rFonts w:ascii="宋体" w:hAnsi="宋体" w:cs="宋体"/>
          <w:b/>
          <w:sz w:val="24"/>
        </w:rPr>
      </w:pPr>
      <w:r>
        <w:rPr>
          <w:rFonts w:hint="eastAsia" w:ascii="宋体" w:hAnsi="宋体" w:cs="宋体"/>
          <w:b/>
          <w:sz w:val="24"/>
        </w:rPr>
        <w:t>31.项目基本情况</w:t>
      </w:r>
    </w:p>
    <w:p>
      <w:pPr>
        <w:widowControl/>
        <w:snapToGrid w:val="0"/>
        <w:spacing w:line="400" w:lineRule="exact"/>
        <w:ind w:firstLine="480" w:firstLineChars="200"/>
        <w:jc w:val="left"/>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江苏师范大学泉山校区在校生23000余人，校区内有泉山一食堂、二食堂、三食堂、五食堂、六食堂等五个大食堂，一个园丁餐厅及部分风味小吃窗口。</w:t>
      </w:r>
    </w:p>
    <w:p>
      <w:pPr>
        <w:widowControl/>
        <w:snapToGrid w:val="0"/>
        <w:spacing w:line="400" w:lineRule="exact"/>
        <w:ind w:firstLine="480" w:firstLineChars="200"/>
        <w:jc w:val="left"/>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泉山一食堂建筑面积为1711</w:t>
      </w:r>
      <w:r>
        <w:rPr>
          <w:rFonts w:hint="eastAsia" w:cs="宋体" w:asciiTheme="minorEastAsia" w:hAnsiTheme="minorEastAsia" w:eastAsiaTheme="minorEastAsia"/>
          <w:kern w:val="0"/>
          <w:sz w:val="24"/>
        </w:rPr>
        <w:t>m</w:t>
      </w:r>
      <w:r>
        <w:rPr>
          <w:rFonts w:hint="eastAsia" w:cs="宋体" w:asciiTheme="minorEastAsia" w:hAnsiTheme="minorEastAsia" w:eastAsiaTheme="minorEastAsia"/>
          <w:kern w:val="0"/>
          <w:sz w:val="24"/>
          <w:vertAlign w:val="superscript"/>
        </w:rPr>
        <w:t>2</w:t>
      </w:r>
      <w:r>
        <w:rPr>
          <w:rFonts w:hint="eastAsia" w:cs="仿宋_GB2312" w:asciiTheme="minorEastAsia" w:hAnsiTheme="minorEastAsia" w:eastAsiaTheme="minorEastAsia"/>
          <w:kern w:val="0"/>
          <w:sz w:val="24"/>
        </w:rPr>
        <w:t>，其中餐厅面积875</w:t>
      </w:r>
      <w:r>
        <w:rPr>
          <w:rFonts w:hint="eastAsia" w:cs="宋体" w:asciiTheme="minorEastAsia" w:hAnsiTheme="minorEastAsia" w:eastAsiaTheme="minorEastAsia"/>
          <w:kern w:val="0"/>
          <w:sz w:val="24"/>
        </w:rPr>
        <w:t>m</w:t>
      </w:r>
      <w:r>
        <w:rPr>
          <w:rFonts w:hint="eastAsia" w:cs="宋体" w:asciiTheme="minorEastAsia" w:hAnsiTheme="minorEastAsia" w:eastAsiaTheme="minorEastAsia"/>
          <w:kern w:val="0"/>
          <w:sz w:val="24"/>
          <w:vertAlign w:val="superscript"/>
        </w:rPr>
        <w:t>2</w:t>
      </w:r>
      <w:r>
        <w:rPr>
          <w:rFonts w:hint="eastAsia" w:cs="仿宋_GB2312" w:asciiTheme="minorEastAsia" w:hAnsiTheme="minorEastAsia" w:eastAsiaTheme="minorEastAsia"/>
          <w:kern w:val="0"/>
          <w:sz w:val="24"/>
        </w:rPr>
        <w:t>，操作间面积836</w:t>
      </w:r>
      <w:r>
        <w:rPr>
          <w:rFonts w:hint="eastAsia" w:cs="宋体" w:asciiTheme="minorEastAsia" w:hAnsiTheme="minorEastAsia" w:eastAsiaTheme="minorEastAsia"/>
          <w:kern w:val="0"/>
          <w:sz w:val="24"/>
        </w:rPr>
        <w:t xml:space="preserve"> m</w:t>
      </w:r>
      <w:r>
        <w:rPr>
          <w:rFonts w:hint="eastAsia" w:cs="宋体" w:asciiTheme="minorEastAsia" w:hAnsiTheme="minorEastAsia" w:eastAsiaTheme="minorEastAsia"/>
          <w:kern w:val="0"/>
          <w:sz w:val="24"/>
          <w:vertAlign w:val="superscript"/>
        </w:rPr>
        <w:t>2</w:t>
      </w:r>
      <w:r>
        <w:rPr>
          <w:rFonts w:hint="eastAsia" w:cs="仿宋_GB2312" w:asciiTheme="minorEastAsia" w:hAnsiTheme="minorEastAsia" w:eastAsiaTheme="minorEastAsia"/>
          <w:kern w:val="0"/>
          <w:sz w:val="24"/>
        </w:rPr>
        <w:t>，座位数422个，POS机35个,后院约300</w:t>
      </w:r>
      <w:r>
        <w:rPr>
          <w:rFonts w:hint="eastAsia" w:cs="宋体" w:asciiTheme="minorEastAsia" w:hAnsiTheme="minorEastAsia" w:eastAsiaTheme="minorEastAsia"/>
          <w:kern w:val="0"/>
          <w:sz w:val="24"/>
        </w:rPr>
        <w:t xml:space="preserve"> m</w:t>
      </w:r>
      <w:r>
        <w:rPr>
          <w:rFonts w:hint="eastAsia" w:cs="宋体" w:asciiTheme="minorEastAsia" w:hAnsiTheme="minorEastAsia" w:eastAsiaTheme="minorEastAsia"/>
          <w:kern w:val="0"/>
          <w:sz w:val="24"/>
          <w:vertAlign w:val="superscript"/>
        </w:rPr>
        <w:t>2</w:t>
      </w:r>
      <w:r>
        <w:rPr>
          <w:rFonts w:hint="eastAsia" w:cs="仿宋_GB2312" w:asciiTheme="minorEastAsia" w:hAnsiTheme="minorEastAsia" w:eastAsiaTheme="minorEastAsia"/>
          <w:kern w:val="0"/>
          <w:sz w:val="24"/>
        </w:rPr>
        <w:t>（含公厕一间），详细尺寸以实地测量为准；主要设备配置有洗碗机、消毒柜、不锈钢货架、不锈钢工作台等。食堂未接通天然气，严禁使用液化气和煤作为燃料，可以使用醇基燃料或电磁灶，可以自行开通天然气（开通费用自理）。建筑内部结构及设施设备配备等具体情况需要现场勘察了解。</w:t>
      </w:r>
    </w:p>
    <w:p>
      <w:pPr>
        <w:spacing w:line="400" w:lineRule="exact"/>
        <w:ind w:firstLine="482" w:firstLineChars="200"/>
        <w:jc w:val="left"/>
        <w:rPr>
          <w:rFonts w:ascii="宋体" w:hAnsi="宋体" w:cs="宋体"/>
          <w:b/>
          <w:sz w:val="24"/>
        </w:rPr>
      </w:pPr>
      <w:r>
        <w:rPr>
          <w:rFonts w:hint="eastAsia" w:ascii="宋体" w:hAnsi="宋体" w:cs="宋体"/>
          <w:b/>
          <w:sz w:val="24"/>
        </w:rPr>
        <w:t>32.承包周期</w:t>
      </w:r>
    </w:p>
    <w:p>
      <w:pPr>
        <w:spacing w:line="400" w:lineRule="exact"/>
        <w:ind w:firstLine="480" w:firstLineChars="200"/>
        <w:jc w:val="left"/>
        <w:rPr>
          <w:rFonts w:ascii="宋体" w:hAnsi="宋体" w:cs="宋体"/>
          <w:bCs/>
          <w:sz w:val="24"/>
        </w:rPr>
      </w:pPr>
      <w:r>
        <w:rPr>
          <w:rFonts w:hint="eastAsia" w:ascii="宋体" w:hAnsi="宋体" w:cs="宋体"/>
          <w:bCs/>
          <w:sz w:val="24"/>
        </w:rPr>
        <w:t>见前附表</w:t>
      </w:r>
    </w:p>
    <w:p>
      <w:pPr>
        <w:spacing w:line="400" w:lineRule="exact"/>
        <w:ind w:firstLine="482" w:firstLineChars="200"/>
        <w:jc w:val="left"/>
        <w:rPr>
          <w:rFonts w:ascii="宋体" w:hAnsi="宋体" w:cs="宋体"/>
          <w:b/>
          <w:sz w:val="24"/>
        </w:rPr>
      </w:pPr>
      <w:r>
        <w:rPr>
          <w:rFonts w:hint="eastAsia" w:ascii="宋体" w:hAnsi="宋体" w:cs="宋体"/>
          <w:b/>
          <w:sz w:val="24"/>
        </w:rPr>
        <w:t>33.承包方式</w:t>
      </w:r>
    </w:p>
    <w:p>
      <w:pPr>
        <w:spacing w:line="400" w:lineRule="exact"/>
        <w:ind w:firstLine="480" w:firstLineChars="200"/>
        <w:jc w:val="left"/>
        <w:rPr>
          <w:rFonts w:ascii="宋体" w:hAnsi="宋体" w:cs="宋体"/>
          <w:sz w:val="24"/>
        </w:rPr>
      </w:pPr>
      <w:r>
        <w:rPr>
          <w:rFonts w:hint="eastAsia" w:ascii="宋体" w:hAnsi="宋体" w:cs="宋体"/>
          <w:sz w:val="24"/>
        </w:rPr>
        <w:t>3.1日常经营及配套服务外包。</w:t>
      </w:r>
    </w:p>
    <w:p>
      <w:pPr>
        <w:spacing w:line="400" w:lineRule="exact"/>
        <w:ind w:firstLine="480" w:firstLineChars="200"/>
        <w:jc w:val="left"/>
        <w:rPr>
          <w:rFonts w:ascii="宋体" w:hAnsi="宋体" w:cs="宋体"/>
          <w:sz w:val="24"/>
        </w:rPr>
      </w:pPr>
      <w:r>
        <w:rPr>
          <w:rFonts w:hint="eastAsia" w:ascii="宋体" w:hAnsi="宋体" w:cs="宋体"/>
          <w:sz w:val="24"/>
        </w:rPr>
        <w:t>3.2自主经营，自负盈亏，自担风险。</w:t>
      </w:r>
    </w:p>
    <w:p>
      <w:pPr>
        <w:spacing w:line="400" w:lineRule="exact"/>
        <w:ind w:firstLine="482" w:firstLineChars="200"/>
        <w:jc w:val="left"/>
        <w:rPr>
          <w:rFonts w:ascii="宋体" w:hAnsi="宋体" w:cs="宋体"/>
          <w:b/>
          <w:sz w:val="24"/>
        </w:rPr>
      </w:pPr>
      <w:r>
        <w:rPr>
          <w:rFonts w:hint="eastAsia" w:ascii="宋体" w:hAnsi="宋体" w:cs="宋体"/>
          <w:b/>
          <w:sz w:val="24"/>
        </w:rPr>
        <w:t>34.经营范围及品种</w:t>
      </w:r>
    </w:p>
    <w:p>
      <w:pPr>
        <w:spacing w:line="400" w:lineRule="exact"/>
        <w:ind w:firstLine="480" w:firstLineChars="200"/>
        <w:jc w:val="left"/>
        <w:rPr>
          <w:rFonts w:ascii="宋体" w:hAnsi="宋体" w:cs="宋体"/>
          <w:sz w:val="24"/>
        </w:rPr>
      </w:pPr>
      <w:r>
        <w:rPr>
          <w:rFonts w:hint="eastAsia" w:ascii="宋体" w:hAnsi="宋体" w:cs="宋体"/>
          <w:sz w:val="24"/>
        </w:rPr>
        <w:t>34.1食堂定位</w:t>
      </w:r>
    </w:p>
    <w:p>
      <w:pPr>
        <w:spacing w:line="40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中高档餐厅，以中档为主，突出菜品特色，提供优雅就餐环境，餐厅内外符合校园主色调，融入校园文化，</w:t>
      </w:r>
      <w:r>
        <w:rPr>
          <w:rFonts w:hint="eastAsia" w:asciiTheme="minorEastAsia" w:hAnsiTheme="minorEastAsia" w:eastAsiaTheme="minorEastAsia"/>
          <w:sz w:val="24"/>
        </w:rPr>
        <w:t>打造文化休闲生活体验中心综合体。</w:t>
      </w:r>
    </w:p>
    <w:p>
      <w:pPr>
        <w:spacing w:line="400" w:lineRule="exact"/>
        <w:ind w:firstLine="480" w:firstLineChars="200"/>
        <w:jc w:val="left"/>
        <w:rPr>
          <w:rFonts w:ascii="宋体" w:hAnsi="宋体" w:cs="宋体"/>
          <w:sz w:val="24"/>
        </w:rPr>
      </w:pPr>
      <w:r>
        <w:rPr>
          <w:rFonts w:hint="eastAsia" w:ascii="宋体" w:hAnsi="宋体" w:cs="宋体"/>
          <w:sz w:val="24"/>
        </w:rPr>
        <w:t>34.2经营范围包含学生食堂日常经营与配套服务，食堂内设施设备巡检维护，经营期间的安全责任。日常经营具体包含基本大伙、风味小吃、饮品、水果等（与申办的许可证经营范围一致）。</w:t>
      </w:r>
    </w:p>
    <w:p>
      <w:pPr>
        <w:spacing w:line="400" w:lineRule="exact"/>
        <w:ind w:firstLine="480" w:firstLineChars="200"/>
        <w:jc w:val="left"/>
        <w:rPr>
          <w:rFonts w:ascii="宋体" w:hAnsi="宋体" w:cs="宋体"/>
          <w:sz w:val="24"/>
        </w:rPr>
      </w:pPr>
      <w:r>
        <w:rPr>
          <w:rFonts w:hint="eastAsia" w:ascii="宋体" w:hAnsi="宋体" w:cs="宋体"/>
          <w:sz w:val="24"/>
        </w:rPr>
        <w:t xml:space="preserve">如需新增品种须经我校后勤集团饮食服务中心批准后方可经营，如不经批准私自增加新品种，将予处罚。 </w:t>
      </w:r>
    </w:p>
    <w:p>
      <w:pPr>
        <w:spacing w:line="400" w:lineRule="exact"/>
        <w:ind w:firstLine="482" w:firstLineChars="200"/>
        <w:jc w:val="left"/>
        <w:rPr>
          <w:rFonts w:ascii="宋体" w:hAnsi="宋体" w:cs="宋体"/>
          <w:b/>
          <w:bCs/>
          <w:sz w:val="24"/>
        </w:rPr>
      </w:pPr>
      <w:r>
        <w:rPr>
          <w:rFonts w:hint="eastAsia" w:ascii="宋体" w:hAnsi="宋体" w:cs="宋体"/>
          <w:b/>
          <w:bCs/>
          <w:sz w:val="24"/>
        </w:rPr>
        <w:t>35.泉山校区 一食堂现有设施设备</w:t>
      </w:r>
    </w:p>
    <w:p>
      <w:pPr>
        <w:spacing w:line="400" w:lineRule="exact"/>
        <w:jc w:val="left"/>
        <w:rPr>
          <w:rFonts w:ascii="宋体" w:hAnsi="宋体" w:cs="宋体"/>
          <w:sz w:val="24"/>
        </w:rPr>
      </w:pPr>
      <w:r>
        <w:rPr>
          <w:rFonts w:hint="eastAsia" w:ascii="宋体" w:hAnsi="宋体" w:cs="宋体"/>
          <w:sz w:val="24"/>
        </w:rPr>
        <w:t xml:space="preserve">    35.1能源：</w:t>
      </w:r>
    </w:p>
    <w:p>
      <w:pPr>
        <w:spacing w:line="400" w:lineRule="exact"/>
        <w:ind w:firstLine="480" w:firstLineChars="200"/>
        <w:jc w:val="left"/>
        <w:rPr>
          <w:rFonts w:ascii="宋体" w:hAnsi="宋体" w:cs="宋体"/>
          <w:sz w:val="24"/>
        </w:rPr>
      </w:pPr>
      <w:r>
        <w:rPr>
          <w:rFonts w:hint="eastAsia" w:ascii="宋体" w:hAnsi="宋体" w:cs="宋体"/>
          <w:sz w:val="24"/>
        </w:rPr>
        <w:t>35.1.1食堂内未接通天然气，现可使用醇基燃料或电磁灶。禁止使用液化气或煤炭类、固体生物质类燃料.可以自行申请接通天然气，费用自理。</w:t>
      </w:r>
    </w:p>
    <w:p>
      <w:pPr>
        <w:spacing w:line="400" w:lineRule="exact"/>
        <w:ind w:firstLine="480" w:firstLineChars="200"/>
        <w:jc w:val="left"/>
        <w:rPr>
          <w:rFonts w:ascii="宋体" w:hAnsi="宋体" w:cs="宋体"/>
          <w:sz w:val="24"/>
        </w:rPr>
      </w:pPr>
      <w:r>
        <w:rPr>
          <w:rFonts w:hint="eastAsia" w:ascii="宋体" w:hAnsi="宋体" w:cs="宋体"/>
          <w:sz w:val="24"/>
        </w:rPr>
        <w:t>35.1.2食堂经营的水电由我校供应，由承包人自行支付费用。按徐州市铜山区居民用水用电标准计费。</w:t>
      </w:r>
    </w:p>
    <w:p>
      <w:pPr>
        <w:spacing w:line="400" w:lineRule="exact"/>
        <w:ind w:firstLine="480" w:firstLineChars="200"/>
        <w:jc w:val="left"/>
        <w:rPr>
          <w:rFonts w:ascii="宋体" w:hAnsi="宋体" w:cs="宋体"/>
          <w:sz w:val="24"/>
        </w:rPr>
      </w:pPr>
      <w:r>
        <w:rPr>
          <w:rFonts w:hint="eastAsia" w:ascii="宋体" w:hAnsi="宋体" w:cs="宋体"/>
          <w:sz w:val="24"/>
        </w:rPr>
        <w:t>35.2设施设备：</w:t>
      </w:r>
    </w:p>
    <w:p>
      <w:pPr>
        <w:spacing w:line="400" w:lineRule="exact"/>
        <w:ind w:firstLine="480" w:firstLineChars="200"/>
        <w:jc w:val="left"/>
        <w:rPr>
          <w:rFonts w:ascii="宋体" w:hAnsi="宋体" w:cs="宋体"/>
          <w:sz w:val="24"/>
        </w:rPr>
      </w:pPr>
      <w:r>
        <w:rPr>
          <w:rFonts w:hint="eastAsia" w:ascii="宋体" w:hAnsi="宋体" w:cs="宋体"/>
          <w:sz w:val="24"/>
        </w:rPr>
        <w:t>35.2.1纳入本项目的食堂建筑及其配套设备（具体需要现场勘察，中标后双方交验）由我校免费提供。依据承包人经营方案，日常经营中的其它厨房、售卖、供餐设备由承包人自行配备。</w:t>
      </w:r>
    </w:p>
    <w:p>
      <w:pPr>
        <w:spacing w:line="400" w:lineRule="exact"/>
        <w:ind w:firstLine="480" w:firstLineChars="200"/>
        <w:jc w:val="left"/>
        <w:rPr>
          <w:rFonts w:ascii="宋体" w:hAnsi="宋体" w:cs="宋体"/>
          <w:sz w:val="24"/>
        </w:rPr>
      </w:pPr>
      <w:r>
        <w:rPr>
          <w:rFonts w:hint="eastAsia" w:ascii="宋体" w:hAnsi="宋体" w:cs="宋体"/>
          <w:sz w:val="24"/>
        </w:rPr>
        <w:t>35.2.2建筑室内装饰装潢，由承包人依据其投标文件明确并获得招标人同意的设计方案，自行施工、验收、使用，并承担由于此项工程发生的全部费用，及施工过程中的安全责任，符合消防验收标准。装潢后，投入使用前，室内环境须符合国家相关标准要求。</w:t>
      </w:r>
    </w:p>
    <w:p>
      <w:pPr>
        <w:spacing w:line="400" w:lineRule="exact"/>
        <w:ind w:firstLine="480" w:firstLineChars="200"/>
        <w:jc w:val="left"/>
        <w:rPr>
          <w:rFonts w:ascii="宋体" w:hAnsi="宋体" w:cs="宋体"/>
          <w:sz w:val="24"/>
        </w:rPr>
      </w:pPr>
      <w:r>
        <w:rPr>
          <w:rFonts w:hint="eastAsia" w:ascii="宋体" w:hAnsi="宋体" w:cs="宋体"/>
          <w:sz w:val="24"/>
        </w:rPr>
        <w:t>35.2.3承包期间纳入食堂经营使用，由招标人免费提供的建筑及其附属设施、其他设备，承包人负有巡检、报修责任。承包人经营期间自行投入的设施设备自负其责。</w:t>
      </w:r>
    </w:p>
    <w:p>
      <w:pPr>
        <w:spacing w:line="400" w:lineRule="exact"/>
        <w:ind w:firstLine="480" w:firstLineChars="200"/>
        <w:jc w:val="left"/>
        <w:rPr>
          <w:rFonts w:ascii="宋体" w:hAnsi="宋体" w:cs="宋体"/>
          <w:sz w:val="24"/>
        </w:rPr>
      </w:pPr>
      <w:r>
        <w:rPr>
          <w:rFonts w:hint="eastAsia" w:ascii="宋体" w:hAnsi="宋体" w:cs="宋体"/>
          <w:sz w:val="24"/>
        </w:rPr>
        <w:t>35.2.4我校要求承包人经营中实行“名厨亮灶”。就餐师生在餐厅可以看到菜肴现场加工、生产过程，可以看到工作人员实时工作状态。方案实施配备的设备、设施本体及安装调试等费用由承包人承担。</w:t>
      </w:r>
    </w:p>
    <w:p>
      <w:pPr>
        <w:spacing w:line="400" w:lineRule="exact"/>
        <w:ind w:firstLine="482" w:firstLineChars="200"/>
        <w:jc w:val="left"/>
        <w:rPr>
          <w:rFonts w:ascii="宋体" w:hAnsi="宋体" w:cs="宋体"/>
          <w:b/>
          <w:bCs/>
          <w:sz w:val="24"/>
        </w:rPr>
      </w:pPr>
      <w:r>
        <w:rPr>
          <w:rFonts w:hint="eastAsia" w:ascii="宋体" w:hAnsi="宋体" w:cs="宋体"/>
          <w:b/>
          <w:bCs/>
          <w:sz w:val="24"/>
        </w:rPr>
        <w:t>36.食材供应</w:t>
      </w:r>
    </w:p>
    <w:p>
      <w:pPr>
        <w:spacing w:line="400" w:lineRule="exact"/>
        <w:ind w:firstLine="480" w:firstLineChars="200"/>
        <w:jc w:val="left"/>
        <w:rPr>
          <w:rFonts w:ascii="宋体" w:hAnsi="宋体" w:cs="宋体"/>
          <w:sz w:val="24"/>
        </w:rPr>
      </w:pPr>
      <w:r>
        <w:rPr>
          <w:rFonts w:hint="eastAsia" w:ascii="宋体" w:hAnsi="宋体" w:cs="宋体"/>
          <w:sz w:val="24"/>
        </w:rPr>
        <w:t>36.1经营期间全部食材均由我校后勤集团集中采购供应。所使用的米饭由我校后勤集团米饭生产车间按成本价供应。</w:t>
      </w:r>
    </w:p>
    <w:p>
      <w:pPr>
        <w:spacing w:line="400" w:lineRule="exact"/>
        <w:ind w:firstLine="480" w:firstLineChars="200"/>
        <w:jc w:val="left"/>
        <w:rPr>
          <w:rFonts w:ascii="宋体" w:hAnsi="宋体" w:cs="宋体"/>
          <w:sz w:val="24"/>
        </w:rPr>
      </w:pPr>
      <w:r>
        <w:rPr>
          <w:rFonts w:hint="eastAsia" w:ascii="宋体" w:hAnsi="宋体" w:cs="宋体"/>
          <w:sz w:val="24"/>
        </w:rPr>
        <w:t>36.2严禁承包者自行采购，一经发现，严肃处理。第一次处1000元罚款，第二次处2000元罚款，严重者可取消承包合同。特殊情况需要自行采购的食材，须书面备案报经后勤集团批准。</w:t>
      </w:r>
    </w:p>
    <w:p>
      <w:pPr>
        <w:spacing w:line="400" w:lineRule="exact"/>
        <w:ind w:firstLine="482" w:firstLineChars="200"/>
        <w:jc w:val="left"/>
        <w:rPr>
          <w:rFonts w:ascii="宋体" w:hAnsi="宋体" w:cs="宋体"/>
          <w:b/>
          <w:bCs/>
          <w:sz w:val="24"/>
        </w:rPr>
      </w:pPr>
      <w:r>
        <w:rPr>
          <w:rFonts w:hint="eastAsia" w:ascii="宋体" w:hAnsi="宋体" w:cs="宋体"/>
          <w:b/>
          <w:bCs/>
          <w:sz w:val="24"/>
        </w:rPr>
        <w:t>37.结算管理</w:t>
      </w:r>
    </w:p>
    <w:p>
      <w:pPr>
        <w:spacing w:line="400" w:lineRule="exact"/>
        <w:ind w:firstLine="480" w:firstLineChars="200"/>
        <w:jc w:val="left"/>
        <w:rPr>
          <w:rFonts w:ascii="宋体" w:hAnsi="宋体" w:cs="宋体"/>
          <w:sz w:val="24"/>
        </w:rPr>
      </w:pPr>
      <w:r>
        <w:rPr>
          <w:rFonts w:hint="eastAsia" w:ascii="宋体" w:hAnsi="宋体" w:cs="宋体"/>
          <w:sz w:val="24"/>
        </w:rPr>
        <w:t>37.1经营期间饭菜售卖以pos机售卖系统结算。严禁收取现金，发现一次处罚2000元，发现二次取消承包合同。</w:t>
      </w:r>
    </w:p>
    <w:p>
      <w:pPr>
        <w:spacing w:line="400" w:lineRule="exact"/>
        <w:ind w:firstLine="480" w:firstLineChars="200"/>
        <w:jc w:val="left"/>
        <w:rPr>
          <w:rFonts w:ascii="宋体" w:hAnsi="宋体" w:cs="宋体"/>
          <w:sz w:val="24"/>
        </w:rPr>
      </w:pPr>
      <w:r>
        <w:rPr>
          <w:rFonts w:hint="eastAsia" w:ascii="宋体" w:hAnsi="宋体" w:cs="宋体"/>
          <w:sz w:val="24"/>
        </w:rPr>
        <w:t>37.2微信、支付宝等电子收付规定。我校后勤集团饮食服务中心对微信、支付宝等电子收付进行统一管理，需要使用微信、支付宝进行收付的，书面提出申请，经批准后使用学校统一发放的二维码收费，否则将按照收现金条款进行处理。</w:t>
      </w:r>
    </w:p>
    <w:p>
      <w:pPr>
        <w:spacing w:line="400" w:lineRule="exact"/>
        <w:ind w:firstLine="480" w:firstLineChars="200"/>
        <w:jc w:val="left"/>
        <w:rPr>
          <w:rFonts w:ascii="宋体" w:hAnsi="宋体" w:cs="宋体"/>
          <w:sz w:val="24"/>
        </w:rPr>
      </w:pPr>
      <w:r>
        <w:rPr>
          <w:rFonts w:hint="eastAsia" w:ascii="宋体" w:hAnsi="宋体" w:cs="宋体"/>
          <w:sz w:val="24"/>
        </w:rPr>
        <w:t>37.3外卖规定。对于有外卖需求的食堂网点，由饮食服务中心牵头统一与外卖平台进行洽谈合作，营业收入由饮食服务中心统一控制。严禁私自加入外卖平台，如有违反，将按照收取现金的有关条款进行处理。</w:t>
      </w:r>
    </w:p>
    <w:p>
      <w:pPr>
        <w:spacing w:line="400" w:lineRule="exact"/>
        <w:ind w:firstLine="480" w:firstLineChars="200"/>
        <w:jc w:val="left"/>
        <w:rPr>
          <w:rFonts w:ascii="宋体" w:hAnsi="宋体" w:cs="宋体"/>
          <w:sz w:val="24"/>
        </w:rPr>
      </w:pPr>
      <w:r>
        <w:rPr>
          <w:rFonts w:hint="eastAsia" w:ascii="宋体" w:hAnsi="宋体" w:cs="宋体"/>
          <w:sz w:val="24"/>
        </w:rPr>
        <w:t>37.4承包人经营本项目期间发生的水、电、汽费、原料费、燃料费、售饭系统及pos机使用费、劳务费、设施设备购置费、维修费、垃圾收集与清运费、物业保洁费、内部管理费等费用，均由承包人自行承担。</w:t>
      </w:r>
    </w:p>
    <w:p>
      <w:pPr>
        <w:spacing w:line="400" w:lineRule="exact"/>
        <w:ind w:firstLine="480" w:firstLineChars="200"/>
        <w:jc w:val="left"/>
        <w:rPr>
          <w:rFonts w:ascii="宋体" w:hAnsi="宋体" w:cs="宋体"/>
          <w:sz w:val="24"/>
        </w:rPr>
      </w:pPr>
      <w:r>
        <w:rPr>
          <w:rFonts w:hint="eastAsia" w:ascii="宋体" w:hAnsi="宋体" w:cs="宋体"/>
          <w:sz w:val="24"/>
        </w:rPr>
        <w:t>37.5发包方</w:t>
      </w:r>
      <w:r>
        <w:rPr>
          <w:rFonts w:hint="eastAsia" w:ascii="宋体" w:hAnsi="宋体" w:cs="宋体"/>
          <w:bCs/>
          <w:sz w:val="24"/>
        </w:rPr>
        <w:t>采购人员经费分担及设施设备折旧</w:t>
      </w:r>
      <w:r>
        <w:rPr>
          <w:rFonts w:hint="eastAsia" w:ascii="宋体" w:hAnsi="宋体" w:cs="宋体"/>
          <w:sz w:val="24"/>
        </w:rPr>
        <w:t>按月提取。</w:t>
      </w:r>
    </w:p>
    <w:p>
      <w:pPr>
        <w:spacing w:line="400" w:lineRule="exact"/>
        <w:ind w:firstLine="480" w:firstLineChars="200"/>
        <w:jc w:val="left"/>
        <w:rPr>
          <w:rFonts w:ascii="宋体" w:hAnsi="宋体" w:cs="宋体"/>
          <w:sz w:val="24"/>
        </w:rPr>
      </w:pPr>
      <w:r>
        <w:rPr>
          <w:rFonts w:hint="eastAsia" w:ascii="宋体" w:hAnsi="宋体" w:cs="宋体"/>
          <w:sz w:val="24"/>
        </w:rPr>
        <w:t>37.6付款方式：每月由我校后勤集团财务部从当月营业收入中按合同约定的</w:t>
      </w:r>
      <w:r>
        <w:rPr>
          <w:rFonts w:hint="eastAsia" w:ascii="宋体" w:hAnsi="宋体" w:cs="宋体"/>
          <w:bCs/>
          <w:sz w:val="24"/>
        </w:rPr>
        <w:t>采购人员经费分担及设施设备折旧</w:t>
      </w:r>
      <w:r>
        <w:rPr>
          <w:rFonts w:hint="eastAsia" w:ascii="宋体" w:hAnsi="宋体" w:cs="宋体"/>
          <w:sz w:val="24"/>
        </w:rPr>
        <w:t>费提取办法（本文后有详细描述）进行提取，并扣除食材等相关费用后，剩余费用于次月20日左右返还到</w:t>
      </w:r>
      <w:r>
        <w:rPr>
          <w:rFonts w:hint="eastAsia" w:ascii="宋体" w:hAnsi="宋体" w:cs="宋体"/>
          <w:szCs w:val="21"/>
          <w:lang w:val="zh-CN"/>
        </w:rPr>
        <w:t>投标企业的账户（或投标企业指定的账户）</w:t>
      </w:r>
      <w:r>
        <w:rPr>
          <w:rFonts w:hint="eastAsia" w:ascii="宋体" w:hAnsi="宋体" w:cs="宋体"/>
          <w:sz w:val="24"/>
        </w:rPr>
        <w:t>。</w:t>
      </w:r>
    </w:p>
    <w:p>
      <w:pPr>
        <w:spacing w:line="400" w:lineRule="exact"/>
        <w:ind w:firstLine="482" w:firstLineChars="200"/>
        <w:jc w:val="left"/>
        <w:rPr>
          <w:rFonts w:ascii="宋体" w:hAnsi="宋体" w:cs="宋体"/>
          <w:b/>
          <w:bCs/>
          <w:sz w:val="24"/>
        </w:rPr>
      </w:pPr>
      <w:r>
        <w:rPr>
          <w:rFonts w:hint="eastAsia" w:ascii="宋体" w:hAnsi="宋体" w:cs="宋体"/>
          <w:b/>
          <w:bCs/>
          <w:sz w:val="24"/>
        </w:rPr>
        <w:t>38.经营质量要求</w:t>
      </w:r>
    </w:p>
    <w:p>
      <w:pPr>
        <w:spacing w:line="400" w:lineRule="exact"/>
        <w:jc w:val="left"/>
        <w:rPr>
          <w:rFonts w:ascii="宋体" w:hAnsi="宋体" w:cs="宋体"/>
          <w:sz w:val="24"/>
        </w:rPr>
      </w:pPr>
      <w:r>
        <w:rPr>
          <w:rFonts w:hint="eastAsia" w:ascii="宋体" w:hAnsi="宋体" w:cs="宋体"/>
          <w:sz w:val="24"/>
        </w:rPr>
        <w:t xml:space="preserve">    38.1经营指标：每学年度营业总收入不少于600万元。</w:t>
      </w:r>
    </w:p>
    <w:p>
      <w:pPr>
        <w:spacing w:line="400" w:lineRule="exact"/>
        <w:jc w:val="left"/>
        <w:rPr>
          <w:rFonts w:ascii="宋体" w:hAnsi="宋体" w:cs="宋体"/>
          <w:sz w:val="24"/>
        </w:rPr>
      </w:pPr>
      <w:r>
        <w:rPr>
          <w:rFonts w:hint="eastAsia" w:ascii="宋体" w:hAnsi="宋体" w:cs="宋体"/>
          <w:sz w:val="24"/>
        </w:rPr>
        <w:t xml:space="preserve">    38.2经营质量标准：</w:t>
      </w:r>
    </w:p>
    <w:p>
      <w:pPr>
        <w:spacing w:line="400" w:lineRule="exact"/>
        <w:ind w:firstLine="240" w:firstLineChars="100"/>
        <w:jc w:val="left"/>
        <w:rPr>
          <w:rFonts w:ascii="宋体" w:hAnsi="宋体" w:cs="宋体"/>
          <w:sz w:val="24"/>
        </w:rPr>
      </w:pPr>
      <w:r>
        <w:rPr>
          <w:rFonts w:hint="eastAsia" w:ascii="宋体" w:hAnsi="宋体" w:cs="宋体"/>
          <w:sz w:val="24"/>
        </w:rPr>
        <w:t xml:space="preserve">  38.2.1经营场所：基本达到标准化食堂建设要求，各功能区间齐全，布局合理，功能发挥正常。必要的场所装饰及有效的设施设备维护。场所干净，就餐环境整洁，明厨亮灶，设施设备运转正常、维护正常。各类垃圾收集、清运符合餐饮行业技术要求。污水、烟气处理符合环保要求；安全设施符合消防要求。</w:t>
      </w:r>
    </w:p>
    <w:p>
      <w:pPr>
        <w:spacing w:line="400" w:lineRule="exact"/>
        <w:ind w:firstLine="240" w:firstLineChars="100"/>
        <w:jc w:val="left"/>
        <w:rPr>
          <w:rFonts w:ascii="宋体" w:hAnsi="宋体" w:cs="宋体"/>
          <w:sz w:val="24"/>
        </w:rPr>
      </w:pPr>
      <w:r>
        <w:rPr>
          <w:rFonts w:hint="eastAsia" w:ascii="宋体" w:hAnsi="宋体" w:cs="宋体"/>
          <w:sz w:val="24"/>
        </w:rPr>
        <w:t xml:space="preserve">  38.2.2经营设备配备：齐全、完好，可以正常使用。</w:t>
      </w:r>
    </w:p>
    <w:p>
      <w:pPr>
        <w:spacing w:line="400" w:lineRule="exact"/>
        <w:ind w:firstLine="240" w:firstLineChars="100"/>
        <w:jc w:val="left"/>
        <w:rPr>
          <w:rFonts w:ascii="宋体" w:hAnsi="宋体" w:cs="宋体"/>
          <w:sz w:val="24"/>
        </w:rPr>
      </w:pPr>
      <w:r>
        <w:rPr>
          <w:rFonts w:hint="eastAsia" w:ascii="宋体" w:hAnsi="宋体" w:cs="宋体"/>
          <w:sz w:val="24"/>
        </w:rPr>
        <w:t xml:space="preserve">  38.2.3食品质量：符合我国餐饮行业食品质量标准。</w:t>
      </w:r>
    </w:p>
    <w:p>
      <w:pPr>
        <w:spacing w:line="400" w:lineRule="exact"/>
        <w:ind w:firstLine="240" w:firstLineChars="100"/>
        <w:jc w:val="left"/>
        <w:rPr>
          <w:rFonts w:ascii="宋体" w:hAnsi="宋体" w:cs="宋体"/>
          <w:sz w:val="24"/>
        </w:rPr>
      </w:pPr>
      <w:r>
        <w:rPr>
          <w:rFonts w:hint="eastAsia" w:ascii="宋体" w:hAnsi="宋体" w:cs="宋体"/>
          <w:sz w:val="24"/>
        </w:rPr>
        <w:t xml:space="preserve">  38.2.4食品卫生及安全：严格执行国家及省、市有关食品卫生及安全管理法律、法规，确保食品安全；从业人员符合管理规定，设施设备严格执行操作规程，及时消除安全隐患，确保生产安全。</w:t>
      </w:r>
    </w:p>
    <w:p>
      <w:pPr>
        <w:spacing w:line="400" w:lineRule="exact"/>
        <w:ind w:firstLine="482" w:firstLineChars="200"/>
        <w:jc w:val="left"/>
        <w:rPr>
          <w:rFonts w:ascii="宋体" w:hAnsi="宋体" w:cs="宋体"/>
          <w:b/>
          <w:bCs/>
          <w:sz w:val="24"/>
        </w:rPr>
      </w:pPr>
      <w:r>
        <w:rPr>
          <w:rFonts w:hint="eastAsia" w:ascii="宋体" w:hAnsi="宋体" w:cs="宋体"/>
          <w:b/>
          <w:bCs/>
          <w:sz w:val="24"/>
        </w:rPr>
        <w:t>39.经营费用</w:t>
      </w:r>
    </w:p>
    <w:p>
      <w:pPr>
        <w:spacing w:line="400" w:lineRule="exact"/>
        <w:jc w:val="left"/>
        <w:rPr>
          <w:rFonts w:ascii="宋体" w:hAnsi="宋体" w:cs="宋体"/>
          <w:sz w:val="24"/>
        </w:rPr>
      </w:pPr>
      <w:r>
        <w:rPr>
          <w:rFonts w:hint="eastAsia" w:ascii="宋体" w:hAnsi="宋体" w:cs="宋体"/>
          <w:sz w:val="24"/>
        </w:rPr>
        <w:t xml:space="preserve">    39.1由承包人在规定的经营范围内自主经营、独立核算，独立享有经营效益，独立承担经营风险，自主履行本项目承包合同规定的权利与义务。承包人经营本项目期间的全部费用均由其自行承担。</w:t>
      </w:r>
    </w:p>
    <w:p>
      <w:pPr>
        <w:spacing w:line="400" w:lineRule="exact"/>
        <w:jc w:val="left"/>
        <w:rPr>
          <w:rFonts w:ascii="宋体" w:hAnsi="宋体" w:cs="宋体"/>
          <w:sz w:val="24"/>
        </w:rPr>
      </w:pPr>
      <w:r>
        <w:rPr>
          <w:rFonts w:hint="eastAsia" w:ascii="宋体" w:hAnsi="宋体" w:cs="宋体"/>
          <w:sz w:val="24"/>
        </w:rPr>
        <w:t xml:space="preserve">    39.2开业前投入</w:t>
      </w:r>
    </w:p>
    <w:p>
      <w:pPr>
        <w:spacing w:line="400" w:lineRule="exact"/>
        <w:ind w:firstLine="240" w:firstLineChars="100"/>
        <w:jc w:val="left"/>
        <w:rPr>
          <w:rFonts w:ascii="宋体" w:hAnsi="宋体" w:cs="宋体"/>
          <w:sz w:val="24"/>
        </w:rPr>
      </w:pPr>
      <w:r>
        <w:rPr>
          <w:rFonts w:hint="eastAsia" w:ascii="宋体" w:hAnsi="宋体" w:cs="宋体"/>
          <w:sz w:val="24"/>
        </w:rPr>
        <w:t xml:space="preserve">  39.2.1经营场所的装饰装修费。</w:t>
      </w:r>
    </w:p>
    <w:p>
      <w:pPr>
        <w:spacing w:line="400" w:lineRule="exact"/>
        <w:ind w:firstLine="240" w:firstLineChars="100"/>
        <w:jc w:val="left"/>
        <w:rPr>
          <w:rFonts w:ascii="宋体" w:hAnsi="宋体" w:cs="宋体"/>
          <w:sz w:val="24"/>
        </w:rPr>
      </w:pPr>
      <w:r>
        <w:rPr>
          <w:rFonts w:hint="eastAsia" w:ascii="宋体" w:hAnsi="宋体" w:cs="宋体"/>
          <w:sz w:val="24"/>
        </w:rPr>
        <w:t xml:space="preserve">  39.2.2自行投入的设施设备费。</w:t>
      </w:r>
    </w:p>
    <w:p>
      <w:pPr>
        <w:spacing w:line="400" w:lineRule="exact"/>
        <w:ind w:firstLine="240" w:firstLineChars="100"/>
        <w:jc w:val="left"/>
        <w:rPr>
          <w:rFonts w:ascii="宋体" w:hAnsi="宋体" w:cs="宋体"/>
          <w:sz w:val="24"/>
        </w:rPr>
      </w:pPr>
      <w:r>
        <w:rPr>
          <w:rFonts w:hint="eastAsia" w:ascii="宋体" w:hAnsi="宋体" w:cs="宋体"/>
          <w:sz w:val="24"/>
        </w:rPr>
        <w:t xml:space="preserve">  39.2.3经营必须办理的各类证照费。</w:t>
      </w:r>
    </w:p>
    <w:p>
      <w:pPr>
        <w:spacing w:line="400" w:lineRule="exact"/>
        <w:ind w:firstLine="240" w:firstLineChars="100"/>
        <w:jc w:val="left"/>
        <w:rPr>
          <w:rFonts w:ascii="宋体" w:hAnsi="宋体" w:cs="宋体"/>
          <w:sz w:val="24"/>
        </w:rPr>
      </w:pPr>
      <w:r>
        <w:rPr>
          <w:rFonts w:hint="eastAsia" w:ascii="宋体" w:hAnsi="宋体" w:cs="宋体"/>
          <w:sz w:val="24"/>
        </w:rPr>
        <w:t xml:space="preserve">  39.2.4履约保证金10万元。</w:t>
      </w:r>
    </w:p>
    <w:p>
      <w:pPr>
        <w:spacing w:line="400" w:lineRule="exact"/>
        <w:ind w:firstLine="240" w:firstLineChars="100"/>
        <w:jc w:val="left"/>
        <w:rPr>
          <w:rFonts w:ascii="宋体" w:hAnsi="宋体" w:cs="宋体"/>
          <w:sz w:val="24"/>
        </w:rPr>
      </w:pPr>
      <w:r>
        <w:rPr>
          <w:rFonts w:hint="eastAsia" w:ascii="宋体" w:hAnsi="宋体" w:cs="宋体"/>
          <w:sz w:val="24"/>
        </w:rPr>
        <w:t xml:space="preserve">  39.2.5其他费用。</w:t>
      </w:r>
    </w:p>
    <w:p>
      <w:pPr>
        <w:spacing w:line="400" w:lineRule="exact"/>
        <w:ind w:firstLine="482"/>
        <w:jc w:val="left"/>
        <w:rPr>
          <w:rFonts w:ascii="宋体" w:hAnsi="宋体" w:cs="宋体"/>
          <w:b/>
          <w:bCs/>
          <w:sz w:val="24"/>
        </w:rPr>
      </w:pPr>
      <w:r>
        <w:rPr>
          <w:rFonts w:hint="eastAsia" w:ascii="宋体" w:hAnsi="宋体" w:cs="宋体"/>
          <w:b/>
          <w:bCs/>
          <w:sz w:val="24"/>
        </w:rPr>
        <w:t>40.采购人员经费分担及设施设备折旧</w:t>
      </w:r>
    </w:p>
    <w:p>
      <w:pPr>
        <w:spacing w:line="400" w:lineRule="exact"/>
        <w:ind w:firstLine="482"/>
        <w:jc w:val="left"/>
        <w:rPr>
          <w:rFonts w:ascii="宋体" w:hAnsi="宋体" w:cs="宋体"/>
          <w:bCs/>
          <w:sz w:val="24"/>
        </w:rPr>
      </w:pPr>
      <w:r>
        <w:rPr>
          <w:rFonts w:hint="eastAsia" w:ascii="宋体" w:hAnsi="宋体" w:cs="宋体"/>
          <w:bCs/>
          <w:sz w:val="24"/>
        </w:rPr>
        <w:t>采购人员经费分担及设施设备折旧</w:t>
      </w:r>
      <w:r>
        <w:rPr>
          <w:rFonts w:hint="eastAsia" w:ascii="宋体" w:hAnsi="宋体" w:cs="宋体"/>
          <w:sz w:val="24"/>
        </w:rPr>
        <w:t>以学年度最低营业收入600万元按比例核收，合同签订第一、第二学年按学年度营业收入的4%计算。续签合同的第三、第四、第五个学年按学年度营业收入的6%计算。如学年度营业收入未达600万元，则按600万元提取</w:t>
      </w:r>
      <w:r>
        <w:rPr>
          <w:rFonts w:hint="eastAsia" w:ascii="宋体" w:hAnsi="宋体" w:cs="宋体"/>
          <w:bCs/>
          <w:sz w:val="24"/>
        </w:rPr>
        <w:t>采购人员经费分担及设施设备折旧</w:t>
      </w:r>
      <w:r>
        <w:rPr>
          <w:rFonts w:hint="eastAsia" w:ascii="宋体" w:hAnsi="宋体" w:cs="宋体"/>
          <w:sz w:val="24"/>
        </w:rPr>
        <w:t>费；如超标完成，则按实际营业收入提取采购保管费。</w:t>
      </w:r>
    </w:p>
    <w:p>
      <w:pPr>
        <w:spacing w:line="400" w:lineRule="exact"/>
        <w:ind w:firstLine="482" w:firstLineChars="200"/>
        <w:jc w:val="left"/>
        <w:rPr>
          <w:rFonts w:ascii="宋体" w:hAnsi="宋体" w:cs="宋体"/>
          <w:b/>
          <w:bCs/>
          <w:sz w:val="24"/>
        </w:rPr>
      </w:pPr>
      <w:r>
        <w:rPr>
          <w:rFonts w:hint="eastAsia" w:ascii="宋体" w:hAnsi="宋体" w:cs="宋体"/>
          <w:b/>
          <w:bCs/>
          <w:sz w:val="24"/>
        </w:rPr>
        <w:t>41.经营管理规定</w:t>
      </w:r>
    </w:p>
    <w:p>
      <w:pPr>
        <w:spacing w:line="400" w:lineRule="exact"/>
        <w:jc w:val="left"/>
        <w:rPr>
          <w:rFonts w:ascii="宋体" w:hAnsi="宋体" w:cs="宋体"/>
          <w:sz w:val="24"/>
        </w:rPr>
      </w:pPr>
      <w:r>
        <w:rPr>
          <w:rFonts w:hint="eastAsia" w:ascii="宋体" w:hAnsi="宋体" w:cs="宋体"/>
          <w:sz w:val="24"/>
        </w:rPr>
        <w:t xml:space="preserve">    41.1经营方案：由承包人在投标文件中明确。要求每学年度营业收入不低于600万元，食堂经营范围具体包含基本大伙、风味小吃、饮品、水果等，严禁超范围经营。在投标文件中明确的经营方案将是合同的有效组成部分，也是招标人对承包人管理、考核之重要依据，合同签署后不能随意更改。</w:t>
      </w:r>
    </w:p>
    <w:p>
      <w:pPr>
        <w:spacing w:line="400" w:lineRule="exact"/>
        <w:ind w:firstLine="480" w:firstLineChars="200"/>
        <w:jc w:val="left"/>
        <w:rPr>
          <w:rFonts w:ascii="宋体" w:hAnsi="宋体" w:cs="宋体"/>
          <w:sz w:val="24"/>
        </w:rPr>
      </w:pPr>
      <w:r>
        <w:rPr>
          <w:rFonts w:hint="eastAsia" w:ascii="宋体" w:hAnsi="宋体" w:cs="宋体"/>
          <w:sz w:val="24"/>
        </w:rPr>
        <w:t>经营方案至少应包括以下内容：经营品种规划、预计售卖价格、总体毛利率的控制等</w:t>
      </w:r>
    </w:p>
    <w:p>
      <w:pPr>
        <w:spacing w:line="400" w:lineRule="exact"/>
        <w:ind w:firstLine="480" w:firstLineChars="200"/>
        <w:jc w:val="left"/>
        <w:rPr>
          <w:rFonts w:ascii="宋体" w:hAnsi="宋体" w:cs="宋体"/>
          <w:sz w:val="24"/>
        </w:rPr>
      </w:pPr>
      <w:r>
        <w:rPr>
          <w:rFonts w:hint="eastAsia" w:ascii="宋体" w:hAnsi="宋体" w:cs="宋体"/>
          <w:sz w:val="24"/>
        </w:rPr>
        <w:t>41.2经营品种规划，包括主副食品种数量、高中低档菜肴比例、计划引入风味小吃品种、总体毛利率的控制等。</w:t>
      </w:r>
    </w:p>
    <w:p>
      <w:pPr>
        <w:spacing w:line="400" w:lineRule="exact"/>
        <w:ind w:firstLine="480" w:firstLineChars="200"/>
        <w:jc w:val="left"/>
        <w:rPr>
          <w:rFonts w:ascii="宋体" w:hAnsi="宋体" w:cs="宋体"/>
          <w:sz w:val="24"/>
        </w:rPr>
      </w:pPr>
      <w:r>
        <w:rPr>
          <w:rFonts w:hint="eastAsia" w:ascii="宋体" w:hAnsi="宋体" w:cs="宋体"/>
          <w:sz w:val="24"/>
        </w:rPr>
        <w:t>41.3经营管理团队规划，包括以下内容：</w:t>
      </w:r>
    </w:p>
    <w:p>
      <w:pPr>
        <w:spacing w:line="400" w:lineRule="exact"/>
        <w:ind w:firstLine="480" w:firstLineChars="200"/>
        <w:jc w:val="left"/>
        <w:rPr>
          <w:rFonts w:ascii="宋体" w:hAnsi="宋体" w:cs="宋体"/>
          <w:sz w:val="24"/>
        </w:rPr>
      </w:pPr>
      <w:r>
        <w:rPr>
          <w:rFonts w:hint="eastAsia" w:ascii="宋体" w:hAnsi="宋体" w:cs="宋体"/>
          <w:sz w:val="24"/>
        </w:rPr>
        <w:t>41.3.1负责中标食堂经营管理的经理和主要管理人员的工作简历、资质证书、近3年奖惩情况。</w:t>
      </w:r>
    </w:p>
    <w:p>
      <w:pPr>
        <w:spacing w:line="400" w:lineRule="exact"/>
        <w:ind w:firstLine="480" w:firstLineChars="200"/>
        <w:jc w:val="left"/>
        <w:rPr>
          <w:rFonts w:ascii="宋体" w:hAnsi="宋体" w:cs="宋体"/>
          <w:sz w:val="24"/>
        </w:rPr>
      </w:pPr>
      <w:r>
        <w:rPr>
          <w:rFonts w:hint="eastAsia" w:ascii="宋体" w:hAnsi="宋体" w:cs="宋体"/>
          <w:sz w:val="24"/>
        </w:rPr>
        <w:t>41.3.2中标食堂管理与生产组织机构设计，以及主要岗位员工职数设置及相应的薪酬标准。</w:t>
      </w:r>
    </w:p>
    <w:p>
      <w:pPr>
        <w:spacing w:line="400" w:lineRule="exact"/>
        <w:ind w:firstLine="480" w:firstLineChars="200"/>
        <w:jc w:val="left"/>
        <w:rPr>
          <w:rFonts w:ascii="宋体" w:hAnsi="宋体" w:cs="宋体"/>
          <w:sz w:val="24"/>
        </w:rPr>
      </w:pPr>
      <w:r>
        <w:rPr>
          <w:rFonts w:hint="eastAsia" w:ascii="宋体" w:hAnsi="宋体" w:cs="宋体"/>
          <w:sz w:val="24"/>
        </w:rPr>
        <w:t>41.3.3管理制度体系，尤其是安全与质量管理方面的制度、措施等等。</w:t>
      </w:r>
    </w:p>
    <w:p>
      <w:pPr>
        <w:spacing w:line="400" w:lineRule="exact"/>
        <w:ind w:firstLine="480" w:firstLineChars="200"/>
        <w:jc w:val="left"/>
        <w:rPr>
          <w:rFonts w:ascii="宋体" w:hAnsi="宋体" w:cs="宋体"/>
          <w:sz w:val="24"/>
        </w:rPr>
      </w:pPr>
      <w:r>
        <w:rPr>
          <w:rFonts w:hint="eastAsia" w:ascii="宋体" w:hAnsi="宋体" w:cs="宋体"/>
          <w:sz w:val="24"/>
        </w:rPr>
        <w:t>41.4经营场所装饰装修方案</w:t>
      </w:r>
    </w:p>
    <w:p>
      <w:pPr>
        <w:spacing w:line="400" w:lineRule="exact"/>
        <w:ind w:firstLine="480" w:firstLineChars="200"/>
        <w:jc w:val="left"/>
        <w:rPr>
          <w:rFonts w:ascii="宋体" w:hAnsi="宋体" w:cs="宋体"/>
          <w:sz w:val="24"/>
        </w:rPr>
      </w:pPr>
      <w:r>
        <w:rPr>
          <w:rFonts w:hint="eastAsia" w:ascii="宋体" w:hAnsi="宋体" w:cs="宋体"/>
          <w:sz w:val="24"/>
        </w:rPr>
        <w:t>41.4.1本项目总投资不得少于200万元，经确认的装饰装修方案既是本项目合同的组成部分，也是对承包人管理、考核的重要依据。装修改造需提供施工清单和决算书，如装修决算后，费用少于承诺装修费用的部分，在其营业额中扣除，纳入饮食中心大伙调节基金管理。合同期内的装饰装修投入及追加投资由承包人自行决定、独立承担。</w:t>
      </w:r>
    </w:p>
    <w:p>
      <w:pPr>
        <w:spacing w:line="400" w:lineRule="exact"/>
        <w:ind w:firstLine="480" w:firstLineChars="200"/>
        <w:jc w:val="left"/>
        <w:rPr>
          <w:rFonts w:ascii="宋体" w:hAnsi="宋体" w:cs="宋体"/>
          <w:sz w:val="24"/>
        </w:rPr>
      </w:pPr>
      <w:r>
        <w:rPr>
          <w:rFonts w:hint="eastAsia" w:ascii="宋体" w:hAnsi="宋体" w:cs="宋体"/>
          <w:sz w:val="24"/>
        </w:rPr>
        <w:t>41.4.2装饰装修方案至少应包含以下内容：</w:t>
      </w:r>
    </w:p>
    <w:p>
      <w:pPr>
        <w:spacing w:line="400" w:lineRule="exact"/>
        <w:ind w:firstLine="480" w:firstLineChars="200"/>
        <w:jc w:val="left"/>
        <w:rPr>
          <w:rFonts w:ascii="宋体" w:hAnsi="宋体" w:cs="宋体"/>
          <w:sz w:val="24"/>
        </w:rPr>
      </w:pPr>
      <w:r>
        <w:rPr>
          <w:rFonts w:hint="eastAsia" w:ascii="宋体" w:hAnsi="宋体" w:cs="宋体"/>
          <w:sz w:val="24"/>
        </w:rPr>
        <w:t>41.4.2.1装饰装修设计方案，设计说明中应有功能性描述、原材料及制安工艺表述，配备有室内设计图、彩色效果图。</w:t>
      </w:r>
    </w:p>
    <w:p>
      <w:pPr>
        <w:spacing w:line="400" w:lineRule="exact"/>
        <w:ind w:firstLine="480" w:firstLineChars="200"/>
        <w:jc w:val="left"/>
        <w:rPr>
          <w:rFonts w:ascii="宋体" w:hAnsi="宋体" w:cs="宋体"/>
          <w:sz w:val="24"/>
        </w:rPr>
      </w:pPr>
      <w:r>
        <w:rPr>
          <w:rFonts w:hint="eastAsia" w:ascii="宋体" w:hAnsi="宋体" w:cs="宋体"/>
          <w:sz w:val="24"/>
        </w:rPr>
        <w:t>41.4.2.2装饰装修预算。</w:t>
      </w:r>
    </w:p>
    <w:p>
      <w:pPr>
        <w:spacing w:line="400" w:lineRule="exact"/>
        <w:ind w:firstLine="480" w:firstLineChars="200"/>
        <w:jc w:val="left"/>
        <w:rPr>
          <w:rFonts w:ascii="宋体" w:hAnsi="宋体" w:cs="宋体"/>
          <w:sz w:val="24"/>
        </w:rPr>
      </w:pPr>
      <w:r>
        <w:rPr>
          <w:rFonts w:hint="eastAsia" w:ascii="宋体" w:hAnsi="宋体" w:cs="宋体"/>
          <w:sz w:val="24"/>
        </w:rPr>
        <w:t>41.4.2.3施工组织设计。</w:t>
      </w:r>
    </w:p>
    <w:p>
      <w:pPr>
        <w:spacing w:line="400" w:lineRule="exact"/>
        <w:ind w:firstLine="480" w:firstLineChars="200"/>
        <w:jc w:val="left"/>
        <w:rPr>
          <w:rFonts w:ascii="宋体" w:hAnsi="宋体" w:cs="宋体"/>
          <w:sz w:val="24"/>
        </w:rPr>
      </w:pPr>
      <w:r>
        <w:rPr>
          <w:rFonts w:hint="eastAsia" w:ascii="宋体" w:hAnsi="宋体" w:cs="宋体"/>
          <w:sz w:val="24"/>
        </w:rPr>
        <w:t>41.4.2.4配套设备清单及其预算。</w:t>
      </w:r>
    </w:p>
    <w:p>
      <w:pPr>
        <w:spacing w:line="400" w:lineRule="exact"/>
        <w:ind w:firstLine="480" w:firstLineChars="200"/>
        <w:jc w:val="left"/>
        <w:rPr>
          <w:rFonts w:ascii="宋体" w:hAnsi="宋体" w:cs="宋体"/>
          <w:sz w:val="24"/>
        </w:rPr>
      </w:pPr>
      <w:r>
        <w:rPr>
          <w:rFonts w:hint="eastAsia" w:ascii="宋体" w:hAnsi="宋体" w:cs="宋体"/>
          <w:sz w:val="24"/>
        </w:rPr>
        <w:t>41.4.2.5装饰装修要求</w:t>
      </w:r>
    </w:p>
    <w:p>
      <w:pPr>
        <w:spacing w:line="400" w:lineRule="exact"/>
        <w:ind w:firstLine="480" w:firstLineChars="200"/>
        <w:jc w:val="left"/>
        <w:rPr>
          <w:rFonts w:ascii="宋体" w:hAnsi="宋体" w:cs="宋体"/>
          <w:sz w:val="24"/>
        </w:rPr>
      </w:pPr>
      <w:r>
        <w:rPr>
          <w:rFonts w:hint="eastAsia" w:ascii="宋体" w:hAnsi="宋体" w:cs="宋体"/>
          <w:sz w:val="24"/>
        </w:rPr>
        <w:t>&lt;1&gt;餐厅：餐厅装修要简约、时尚、温馨、舒适，</w:t>
      </w:r>
      <w:r>
        <w:rPr>
          <w:rFonts w:hint="eastAsia" w:cs="宋体" w:asciiTheme="minorEastAsia" w:hAnsiTheme="minorEastAsia" w:eastAsiaTheme="minorEastAsia"/>
          <w:sz w:val="24"/>
        </w:rPr>
        <w:t>餐厅内外符合校园主色调，融入校园文化，</w:t>
      </w:r>
      <w:r>
        <w:rPr>
          <w:rFonts w:hint="eastAsia" w:ascii="宋体" w:hAnsi="宋体" w:cs="宋体"/>
          <w:sz w:val="24"/>
        </w:rPr>
        <w:t>能迎合当代大学生的消费心理和满足多功能化的需求。</w:t>
      </w:r>
    </w:p>
    <w:p>
      <w:pPr>
        <w:spacing w:line="400" w:lineRule="exact"/>
        <w:ind w:firstLine="480" w:firstLineChars="200"/>
        <w:jc w:val="left"/>
        <w:rPr>
          <w:rFonts w:ascii="宋体" w:hAnsi="宋体" w:cs="宋体"/>
          <w:sz w:val="24"/>
        </w:rPr>
      </w:pPr>
      <w:r>
        <w:rPr>
          <w:rFonts w:hint="eastAsia" w:ascii="宋体" w:hAnsi="宋体" w:cs="宋体"/>
          <w:sz w:val="24"/>
        </w:rPr>
        <w:t>（1）装修材料要求环保、节能、低碳，色彩协调统一；</w:t>
      </w:r>
    </w:p>
    <w:p>
      <w:pPr>
        <w:spacing w:line="400" w:lineRule="exact"/>
        <w:ind w:firstLine="480" w:firstLineChars="200"/>
        <w:jc w:val="left"/>
        <w:rPr>
          <w:rFonts w:ascii="宋体" w:hAnsi="宋体" w:cs="宋体"/>
          <w:sz w:val="24"/>
        </w:rPr>
      </w:pPr>
      <w:r>
        <w:rPr>
          <w:rFonts w:hint="eastAsia" w:ascii="宋体" w:hAnsi="宋体" w:cs="宋体"/>
          <w:sz w:val="24"/>
        </w:rPr>
        <w:t>（2）灯光设计能够根据功能变化进行调节；</w:t>
      </w:r>
    </w:p>
    <w:p>
      <w:pPr>
        <w:spacing w:line="400" w:lineRule="exact"/>
        <w:ind w:firstLine="480" w:firstLineChars="200"/>
        <w:jc w:val="left"/>
        <w:rPr>
          <w:rFonts w:ascii="宋体" w:hAnsi="宋体" w:cs="宋体"/>
          <w:sz w:val="24"/>
        </w:rPr>
      </w:pPr>
      <w:r>
        <w:rPr>
          <w:rFonts w:hint="eastAsia" w:ascii="宋体" w:hAnsi="宋体" w:cs="宋体"/>
          <w:sz w:val="24"/>
        </w:rPr>
        <w:t>（3）有合理的排风系统，保持空气流通通畅；</w:t>
      </w:r>
    </w:p>
    <w:p>
      <w:pPr>
        <w:spacing w:line="400" w:lineRule="exact"/>
        <w:ind w:firstLine="480" w:firstLineChars="200"/>
        <w:jc w:val="left"/>
        <w:rPr>
          <w:rFonts w:ascii="宋体" w:hAnsi="宋体" w:cs="宋体"/>
          <w:sz w:val="24"/>
        </w:rPr>
      </w:pPr>
      <w:r>
        <w:rPr>
          <w:rFonts w:hint="eastAsia" w:ascii="宋体" w:hAnsi="宋体" w:cs="宋体"/>
          <w:sz w:val="24"/>
        </w:rPr>
        <w:t>（4）</w:t>
      </w:r>
      <w:bookmarkStart w:id="3" w:name="OLE_LINK2"/>
      <w:r>
        <w:rPr>
          <w:rFonts w:hint="eastAsia" w:ascii="宋体" w:hAnsi="宋体" w:cs="宋体"/>
          <w:sz w:val="24"/>
        </w:rPr>
        <w:t>餐厅外立面不允许做任何承包企业宣传（图、文）；</w:t>
      </w:r>
    </w:p>
    <w:p>
      <w:pPr>
        <w:spacing w:line="400" w:lineRule="exact"/>
        <w:ind w:firstLine="480" w:firstLineChars="200"/>
        <w:jc w:val="left"/>
        <w:rPr>
          <w:rFonts w:ascii="宋体" w:hAnsi="宋体" w:cs="宋体"/>
          <w:sz w:val="24"/>
        </w:rPr>
      </w:pPr>
      <w:r>
        <w:rPr>
          <w:rFonts w:hint="eastAsia" w:ascii="宋体" w:hAnsi="宋体" w:cs="宋体"/>
          <w:sz w:val="24"/>
        </w:rPr>
        <w:t>（5）装修改造符合消防安全要求</w:t>
      </w:r>
      <w:bookmarkEnd w:id="3"/>
      <w:r>
        <w:rPr>
          <w:rFonts w:hint="eastAsia" w:ascii="宋体" w:hAnsi="宋体" w:cs="宋体"/>
          <w:sz w:val="24"/>
        </w:rPr>
        <w:t>。</w:t>
      </w:r>
    </w:p>
    <w:p>
      <w:pPr>
        <w:spacing w:line="400" w:lineRule="exact"/>
        <w:ind w:firstLine="480" w:firstLineChars="200"/>
        <w:jc w:val="left"/>
        <w:rPr>
          <w:rFonts w:ascii="宋体" w:hAnsi="宋体" w:cs="宋体"/>
          <w:sz w:val="24"/>
        </w:rPr>
      </w:pPr>
      <w:r>
        <w:rPr>
          <w:rFonts w:hint="eastAsia" w:ascii="宋体" w:hAnsi="宋体" w:cs="宋体"/>
          <w:sz w:val="24"/>
        </w:rPr>
        <w:t>&lt;2&gt;后场：</w:t>
      </w:r>
    </w:p>
    <w:p>
      <w:pPr>
        <w:spacing w:line="400" w:lineRule="exact"/>
        <w:ind w:firstLine="480" w:firstLineChars="200"/>
        <w:jc w:val="left"/>
        <w:rPr>
          <w:rFonts w:ascii="宋体" w:hAnsi="宋体" w:cs="宋体"/>
          <w:sz w:val="24"/>
        </w:rPr>
      </w:pPr>
      <w:r>
        <w:rPr>
          <w:rFonts w:hint="eastAsia" w:ascii="宋体" w:hAnsi="宋体" w:cs="宋体"/>
          <w:sz w:val="24"/>
        </w:rPr>
        <w:t>（1）功能间设置合理，流程规范</w:t>
      </w:r>
    </w:p>
    <w:p>
      <w:pPr>
        <w:spacing w:line="400" w:lineRule="exact"/>
        <w:ind w:firstLine="480" w:firstLineChars="200"/>
        <w:jc w:val="left"/>
        <w:rPr>
          <w:rFonts w:ascii="宋体" w:hAnsi="宋体" w:cs="宋体"/>
          <w:sz w:val="24"/>
        </w:rPr>
      </w:pPr>
      <w:r>
        <w:rPr>
          <w:rFonts w:hint="eastAsia" w:ascii="宋体" w:hAnsi="宋体" w:cs="宋体"/>
          <w:sz w:val="24"/>
        </w:rPr>
        <w:t>（2）油烟排放净化系统安装合理、规范，排烟净化效果好；</w:t>
      </w:r>
    </w:p>
    <w:p>
      <w:pPr>
        <w:spacing w:line="400" w:lineRule="exact"/>
        <w:ind w:firstLine="480" w:firstLineChars="200"/>
        <w:jc w:val="left"/>
        <w:rPr>
          <w:rFonts w:ascii="宋体" w:hAnsi="宋体" w:cs="宋体"/>
          <w:sz w:val="24"/>
        </w:rPr>
      </w:pPr>
      <w:r>
        <w:rPr>
          <w:rFonts w:hint="eastAsia" w:ascii="宋体" w:hAnsi="宋体" w:cs="宋体"/>
          <w:sz w:val="24"/>
        </w:rPr>
        <w:t>（3）所有操作间白色瓷砖到顶；</w:t>
      </w:r>
    </w:p>
    <w:p>
      <w:pPr>
        <w:spacing w:line="400" w:lineRule="exact"/>
        <w:ind w:firstLine="480" w:firstLineChars="200"/>
        <w:jc w:val="left"/>
        <w:rPr>
          <w:rFonts w:ascii="宋体" w:hAnsi="宋体" w:cs="宋体"/>
          <w:sz w:val="24"/>
        </w:rPr>
      </w:pPr>
      <w:r>
        <w:rPr>
          <w:rFonts w:hint="eastAsia" w:ascii="宋体" w:hAnsi="宋体" w:cs="宋体"/>
          <w:sz w:val="24"/>
        </w:rPr>
        <w:t>（4）老化线路要进行重新铺设；</w:t>
      </w:r>
    </w:p>
    <w:p>
      <w:pPr>
        <w:spacing w:line="400" w:lineRule="exact"/>
        <w:ind w:firstLine="480" w:firstLineChars="200"/>
        <w:jc w:val="left"/>
        <w:rPr>
          <w:rFonts w:ascii="宋体" w:hAnsi="宋体" w:cs="宋体"/>
          <w:sz w:val="24"/>
        </w:rPr>
      </w:pPr>
      <w:r>
        <w:rPr>
          <w:rFonts w:hint="eastAsia" w:ascii="宋体" w:hAnsi="宋体" w:cs="宋体"/>
          <w:sz w:val="24"/>
        </w:rPr>
        <w:t>（5）厨房设备、灶具做到不锈钢化；</w:t>
      </w:r>
    </w:p>
    <w:p>
      <w:pPr>
        <w:spacing w:line="400" w:lineRule="exact"/>
        <w:ind w:firstLine="480" w:firstLineChars="200"/>
        <w:jc w:val="left"/>
        <w:rPr>
          <w:rFonts w:ascii="宋体" w:hAnsi="宋体" w:cs="宋体"/>
          <w:sz w:val="24"/>
        </w:rPr>
      </w:pPr>
      <w:r>
        <w:rPr>
          <w:rFonts w:hint="eastAsia" w:ascii="宋体" w:hAnsi="宋体" w:cs="宋体"/>
          <w:sz w:val="24"/>
        </w:rPr>
        <w:t>（6）装修改造符合消防安全要求。</w:t>
      </w:r>
    </w:p>
    <w:p>
      <w:pPr>
        <w:spacing w:line="400" w:lineRule="exact"/>
        <w:ind w:firstLine="480" w:firstLineChars="200"/>
        <w:jc w:val="left"/>
        <w:rPr>
          <w:rFonts w:ascii="宋体" w:hAnsi="宋体" w:cs="宋体"/>
          <w:sz w:val="24"/>
        </w:rPr>
      </w:pPr>
      <w:r>
        <w:rPr>
          <w:rFonts w:hint="eastAsia" w:ascii="宋体" w:hAnsi="宋体" w:cs="宋体"/>
          <w:sz w:val="24"/>
        </w:rPr>
        <w:t>41.4.2.6投标人应当提供装修效果图，其中整体效果图至少一张，局部效果图不少于三张，彩印KT版，尺寸自定，在招标现场展示，同时投标文件中提供彩打效果图。</w:t>
      </w:r>
    </w:p>
    <w:p>
      <w:pPr>
        <w:spacing w:line="400" w:lineRule="exact"/>
        <w:ind w:firstLine="480" w:firstLineChars="200"/>
        <w:jc w:val="left"/>
        <w:rPr>
          <w:rFonts w:ascii="宋体" w:hAnsi="宋体" w:cs="宋体"/>
          <w:sz w:val="24"/>
        </w:rPr>
      </w:pPr>
      <w:r>
        <w:rPr>
          <w:rFonts w:hint="eastAsia" w:ascii="宋体" w:hAnsi="宋体" w:cs="宋体"/>
          <w:sz w:val="24"/>
        </w:rPr>
        <w:t>41.4.2.7中标的装修方案不是本次招标的最终方案，中标人应当根据招标方的要求，在中标后规定的时间内完成深化设计和相关修改，相关设计图纸必须由有资质的设计部门盖章出具，中标人不按招标方要求进行深化设计和修改的，或不能提供有资质的设计部门盖章出具的设计图纸，招标人有权取消其中标资格，并根据评标得分，按顺位确定其他中标候选人。</w:t>
      </w:r>
    </w:p>
    <w:p>
      <w:pPr>
        <w:spacing w:line="400" w:lineRule="exact"/>
        <w:ind w:firstLine="480" w:firstLineChars="200"/>
        <w:jc w:val="left"/>
        <w:rPr>
          <w:rFonts w:ascii="宋体" w:hAnsi="宋体" w:cs="宋体"/>
          <w:sz w:val="24"/>
        </w:rPr>
      </w:pPr>
      <w:r>
        <w:rPr>
          <w:rFonts w:hint="eastAsia" w:ascii="宋体" w:hAnsi="宋体" w:cs="宋体"/>
          <w:sz w:val="24"/>
        </w:rPr>
        <w:t>41.5从业人员管理</w:t>
      </w:r>
    </w:p>
    <w:p>
      <w:pPr>
        <w:spacing w:line="400" w:lineRule="exact"/>
        <w:ind w:firstLine="480" w:firstLineChars="200"/>
        <w:jc w:val="left"/>
        <w:rPr>
          <w:rFonts w:ascii="宋体" w:hAnsi="宋体" w:cs="宋体"/>
          <w:sz w:val="24"/>
        </w:rPr>
      </w:pPr>
      <w:r>
        <w:rPr>
          <w:rFonts w:hint="eastAsia" w:ascii="宋体" w:hAnsi="宋体" w:cs="宋体"/>
          <w:sz w:val="24"/>
        </w:rPr>
        <w:t>41.5.1用工须符合国家《劳动合同法》有关规定、由于劳务纠纷引发的各类责任均由承包人自行承担。如由此造成恶劣影响，我校后勤集团将扣除其履约保证金的20%-100%作为罚金。</w:t>
      </w:r>
    </w:p>
    <w:p>
      <w:pPr>
        <w:spacing w:line="400" w:lineRule="exact"/>
        <w:ind w:firstLine="480" w:firstLineChars="200"/>
        <w:jc w:val="left"/>
        <w:rPr>
          <w:rFonts w:ascii="宋体" w:hAnsi="宋体" w:cs="宋体"/>
          <w:sz w:val="24"/>
        </w:rPr>
      </w:pPr>
      <w:r>
        <w:rPr>
          <w:rFonts w:hint="eastAsia" w:ascii="宋体" w:hAnsi="宋体" w:cs="宋体"/>
          <w:sz w:val="24"/>
        </w:rPr>
        <w:t>41.5.2所有从业人员须符合工作岗位要求，经体检取得培训合格证、健康证。</w:t>
      </w:r>
    </w:p>
    <w:p>
      <w:pPr>
        <w:spacing w:line="400" w:lineRule="exact"/>
        <w:ind w:firstLine="480" w:firstLineChars="200"/>
        <w:jc w:val="left"/>
        <w:rPr>
          <w:rFonts w:ascii="宋体" w:hAnsi="宋体" w:cs="宋体"/>
          <w:sz w:val="24"/>
        </w:rPr>
      </w:pPr>
      <w:r>
        <w:rPr>
          <w:rFonts w:hint="eastAsia" w:ascii="宋体" w:hAnsi="宋体" w:cs="宋体"/>
          <w:sz w:val="24"/>
        </w:rPr>
        <w:t>41.5.3所有从业人员均须接受我校监管，认真接受培训，准时参加我校后勤集团组织的各项活动。</w:t>
      </w:r>
    </w:p>
    <w:p>
      <w:pPr>
        <w:spacing w:line="400" w:lineRule="exact"/>
        <w:ind w:firstLine="480" w:firstLineChars="200"/>
        <w:jc w:val="left"/>
        <w:rPr>
          <w:rFonts w:ascii="宋体" w:hAnsi="宋体" w:cs="宋体"/>
          <w:sz w:val="24"/>
        </w:rPr>
      </w:pPr>
      <w:r>
        <w:rPr>
          <w:rFonts w:hint="eastAsia" w:ascii="宋体" w:hAnsi="宋体" w:cs="宋体"/>
          <w:sz w:val="24"/>
        </w:rPr>
        <w:t>41.5.4从业人员的住宿均由承包人自行解决。</w:t>
      </w:r>
    </w:p>
    <w:p>
      <w:pPr>
        <w:spacing w:line="400" w:lineRule="exact"/>
        <w:ind w:firstLine="480" w:firstLineChars="200"/>
        <w:jc w:val="left"/>
        <w:rPr>
          <w:rFonts w:ascii="宋体" w:hAnsi="宋体" w:cs="宋体"/>
          <w:sz w:val="24"/>
        </w:rPr>
      </w:pPr>
      <w:r>
        <w:rPr>
          <w:rFonts w:hint="eastAsia" w:ascii="宋体" w:hAnsi="宋体" w:cs="宋体"/>
          <w:sz w:val="24"/>
        </w:rPr>
        <w:t>41.6安全管理规定</w:t>
      </w:r>
    </w:p>
    <w:p>
      <w:pPr>
        <w:spacing w:line="400" w:lineRule="exact"/>
        <w:ind w:firstLine="480" w:firstLineChars="200"/>
        <w:jc w:val="left"/>
        <w:rPr>
          <w:rFonts w:ascii="宋体" w:hAnsi="宋体" w:cs="宋体"/>
          <w:sz w:val="24"/>
        </w:rPr>
      </w:pPr>
      <w:r>
        <w:rPr>
          <w:rFonts w:hint="eastAsia" w:ascii="宋体" w:hAnsi="宋体" w:cs="宋体"/>
          <w:sz w:val="24"/>
        </w:rPr>
        <w:t>41.6.1严格遵守《食品安全法》、《学校食堂与学生集体用餐卫生管理规定》及相关的法律法规，认真做好防火、防盗、防事故，预防和杜绝食物中毒事件发生。</w:t>
      </w:r>
    </w:p>
    <w:p>
      <w:pPr>
        <w:spacing w:line="400" w:lineRule="exact"/>
        <w:ind w:firstLine="480" w:firstLineChars="200"/>
        <w:jc w:val="left"/>
        <w:rPr>
          <w:rFonts w:ascii="宋体" w:hAnsi="宋体" w:cs="宋体"/>
          <w:sz w:val="24"/>
        </w:rPr>
      </w:pPr>
      <w:r>
        <w:rPr>
          <w:rFonts w:hint="eastAsia" w:ascii="宋体" w:hAnsi="宋体" w:cs="宋体"/>
          <w:sz w:val="24"/>
        </w:rPr>
        <w:t>41.6.2认真管理职工，及时进行劳动安全教育，严格执行安全操作规程，切实加强安全检查，排除安全隐患。</w:t>
      </w:r>
    </w:p>
    <w:p>
      <w:pPr>
        <w:spacing w:line="400" w:lineRule="exact"/>
        <w:ind w:firstLine="480" w:firstLineChars="200"/>
        <w:jc w:val="left"/>
        <w:rPr>
          <w:rFonts w:ascii="宋体" w:hAnsi="宋体" w:cs="宋体"/>
          <w:sz w:val="24"/>
        </w:rPr>
      </w:pPr>
      <w:r>
        <w:rPr>
          <w:rFonts w:hint="eastAsia" w:ascii="宋体" w:hAnsi="宋体" w:cs="宋体"/>
          <w:sz w:val="24"/>
        </w:rPr>
        <w:t>41.6.3实行安全责任总承包。发生安全事故、食物中毒引发的责任均由承包人独立承担。</w:t>
      </w:r>
    </w:p>
    <w:p>
      <w:pPr>
        <w:spacing w:line="400" w:lineRule="exact"/>
        <w:ind w:firstLine="480" w:firstLineChars="200"/>
        <w:jc w:val="left"/>
        <w:rPr>
          <w:rFonts w:ascii="宋体" w:hAnsi="宋体" w:cs="宋体"/>
          <w:sz w:val="24"/>
        </w:rPr>
      </w:pPr>
      <w:r>
        <w:rPr>
          <w:rFonts w:hint="eastAsia" w:ascii="宋体" w:hAnsi="宋体" w:cs="宋体"/>
          <w:sz w:val="24"/>
        </w:rPr>
        <w:t>41.7设施设备管理规定</w:t>
      </w:r>
    </w:p>
    <w:p>
      <w:pPr>
        <w:spacing w:line="400" w:lineRule="exact"/>
        <w:ind w:firstLine="480" w:firstLineChars="200"/>
        <w:jc w:val="left"/>
        <w:rPr>
          <w:rFonts w:ascii="宋体" w:hAnsi="宋体" w:cs="宋体"/>
          <w:sz w:val="24"/>
        </w:rPr>
      </w:pPr>
      <w:r>
        <w:rPr>
          <w:rFonts w:hint="eastAsia" w:ascii="宋体" w:hAnsi="宋体" w:cs="宋体"/>
          <w:sz w:val="24"/>
        </w:rPr>
        <w:t>41.7.1我校投入的设施设备，由承包人负责维护、巡检、保修，损坏或丢失由承包人自行修复或赔偿。</w:t>
      </w:r>
    </w:p>
    <w:p>
      <w:pPr>
        <w:spacing w:line="400" w:lineRule="exact"/>
        <w:ind w:firstLine="480" w:firstLineChars="200"/>
        <w:jc w:val="left"/>
        <w:rPr>
          <w:rFonts w:ascii="宋体" w:hAnsi="宋体" w:cs="宋体"/>
          <w:sz w:val="24"/>
        </w:rPr>
      </w:pPr>
      <w:r>
        <w:rPr>
          <w:rFonts w:hint="eastAsia" w:ascii="宋体" w:hAnsi="宋体" w:cs="宋体"/>
          <w:sz w:val="24"/>
        </w:rPr>
        <w:t>41.7.2承包人投入的设施设备，由承包人负责维护、巡检、修复、保管。</w:t>
      </w:r>
    </w:p>
    <w:p>
      <w:pPr>
        <w:spacing w:line="400" w:lineRule="exact"/>
        <w:ind w:firstLine="480" w:firstLineChars="200"/>
        <w:jc w:val="left"/>
        <w:rPr>
          <w:rFonts w:ascii="宋体" w:hAnsi="宋体" w:cs="宋体"/>
          <w:sz w:val="24"/>
        </w:rPr>
      </w:pPr>
      <w:r>
        <w:rPr>
          <w:rFonts w:hint="eastAsia" w:ascii="宋体" w:hAnsi="宋体" w:cs="宋体"/>
          <w:sz w:val="24"/>
        </w:rPr>
        <w:t>41.7.3房屋固有设施不得擅自更改。若因操作确实需要更改的必须上报我校后勤集团，经学校同意后方可施工，费用自理。</w:t>
      </w:r>
    </w:p>
    <w:p>
      <w:pPr>
        <w:spacing w:line="400" w:lineRule="exact"/>
        <w:ind w:firstLine="480" w:firstLineChars="200"/>
        <w:jc w:val="left"/>
        <w:rPr>
          <w:rFonts w:ascii="宋体" w:hAnsi="宋体" w:cs="宋体"/>
          <w:sz w:val="24"/>
        </w:rPr>
      </w:pPr>
      <w:r>
        <w:rPr>
          <w:rFonts w:hint="eastAsia" w:ascii="宋体" w:hAnsi="宋体" w:cs="宋体"/>
          <w:sz w:val="24"/>
        </w:rPr>
        <w:t>41.8其他规定</w:t>
      </w:r>
    </w:p>
    <w:p>
      <w:pPr>
        <w:spacing w:line="400" w:lineRule="exact"/>
        <w:ind w:firstLine="480" w:firstLineChars="200"/>
        <w:jc w:val="left"/>
        <w:rPr>
          <w:rFonts w:ascii="宋体" w:hAnsi="宋体" w:cs="宋体"/>
          <w:sz w:val="24"/>
        </w:rPr>
      </w:pPr>
      <w:r>
        <w:rPr>
          <w:rFonts w:hint="eastAsia" w:ascii="宋体" w:hAnsi="宋体" w:cs="宋体"/>
          <w:sz w:val="24"/>
        </w:rPr>
        <w:t>41.8.1 合同期满，合同自动终止。</w:t>
      </w:r>
    </w:p>
    <w:p>
      <w:pPr>
        <w:spacing w:line="400" w:lineRule="exact"/>
        <w:ind w:firstLine="480" w:firstLineChars="200"/>
        <w:jc w:val="left"/>
        <w:rPr>
          <w:rFonts w:ascii="宋体" w:hAnsi="宋体" w:cs="宋体"/>
          <w:sz w:val="24"/>
        </w:rPr>
      </w:pPr>
      <w:r>
        <w:rPr>
          <w:rFonts w:hint="eastAsia" w:ascii="宋体" w:hAnsi="宋体" w:cs="宋体"/>
          <w:sz w:val="24"/>
        </w:rPr>
        <w:t>41.8.2合同首期经营期两学年度考核不合格的承包人，第三、第四、第五学年合同不再续签，合同终止。</w:t>
      </w:r>
    </w:p>
    <w:p>
      <w:pPr>
        <w:spacing w:line="400" w:lineRule="exact"/>
        <w:ind w:firstLine="480" w:firstLineChars="200"/>
        <w:jc w:val="left"/>
        <w:rPr>
          <w:rFonts w:ascii="宋体" w:hAnsi="宋体" w:cs="宋体"/>
          <w:sz w:val="24"/>
        </w:rPr>
      </w:pPr>
      <w:r>
        <w:rPr>
          <w:rFonts w:hint="eastAsia" w:ascii="宋体" w:hAnsi="宋体" w:cs="宋体"/>
          <w:sz w:val="24"/>
        </w:rPr>
        <w:t>41.8.3因经营不善终止合同，承包人必须提前一个月向我校后勤集团提出书面申请。经我校同意后方可停止营业。但认定为承包人违约，我校将扣留履约保证金总额的20％作为罚金。如承包人不经我校同意自行停止经营，将认定为承包人恶意违约，我校将扣留其全额履约保证金。并根据造成的影响轻重给予一定数额的经济处罚，直至追究其法律责任。</w:t>
      </w:r>
    </w:p>
    <w:p>
      <w:pPr>
        <w:spacing w:line="400" w:lineRule="exact"/>
        <w:ind w:firstLine="480" w:firstLineChars="200"/>
        <w:jc w:val="left"/>
        <w:rPr>
          <w:rFonts w:ascii="宋体" w:hAnsi="宋体" w:cs="宋体"/>
          <w:sz w:val="24"/>
        </w:rPr>
      </w:pPr>
      <w:r>
        <w:rPr>
          <w:rFonts w:hint="eastAsia" w:ascii="宋体" w:hAnsi="宋体" w:cs="宋体"/>
          <w:sz w:val="24"/>
        </w:rPr>
        <w:t>41.8.4经营合同到期或因承包人自身原因须提前终止合同的，承包人不得破坏、拆除、损毁已投入的设施设备和装潢改造，只能自行处置非固定设备。否则将根据实际情况计算损失，损失费用从其营业款或履约保证金中扣除。</w:t>
      </w:r>
    </w:p>
    <w:p>
      <w:pPr>
        <w:spacing w:line="400" w:lineRule="exact"/>
        <w:ind w:firstLine="480" w:firstLineChars="200"/>
        <w:jc w:val="left"/>
        <w:rPr>
          <w:rFonts w:ascii="宋体" w:hAnsi="宋体" w:cs="宋体"/>
          <w:sz w:val="24"/>
        </w:rPr>
      </w:pPr>
      <w:r>
        <w:rPr>
          <w:rFonts w:hint="eastAsia" w:ascii="宋体" w:hAnsi="宋体" w:cs="宋体"/>
          <w:sz w:val="24"/>
        </w:rPr>
        <w:t>41.8.5经营期间有下列情况之一，将终止合同，承包人无偿退出：</w:t>
      </w:r>
    </w:p>
    <w:p>
      <w:pPr>
        <w:spacing w:line="400" w:lineRule="exact"/>
        <w:ind w:firstLine="480" w:firstLineChars="200"/>
        <w:jc w:val="left"/>
        <w:rPr>
          <w:rFonts w:ascii="宋体" w:hAnsi="宋体" w:cs="宋体"/>
          <w:sz w:val="24"/>
        </w:rPr>
      </w:pPr>
      <w:r>
        <w:rPr>
          <w:rFonts w:hint="eastAsia" w:ascii="宋体" w:hAnsi="宋体" w:cs="宋体"/>
          <w:sz w:val="24"/>
        </w:rPr>
        <w:t>41.8.5.1发生食物中毒，与承包人或其经营的食堂有关。</w:t>
      </w:r>
    </w:p>
    <w:p>
      <w:pPr>
        <w:spacing w:line="400" w:lineRule="exact"/>
        <w:ind w:firstLine="480" w:firstLineChars="200"/>
        <w:jc w:val="left"/>
        <w:rPr>
          <w:rFonts w:ascii="宋体" w:hAnsi="宋体" w:cs="宋体"/>
          <w:sz w:val="24"/>
        </w:rPr>
      </w:pPr>
      <w:r>
        <w:rPr>
          <w:rFonts w:hint="eastAsia" w:ascii="宋体" w:hAnsi="宋体" w:cs="宋体"/>
          <w:sz w:val="24"/>
        </w:rPr>
        <w:t>41.8.5.2食堂发生火灾，责任在承包人。</w:t>
      </w:r>
    </w:p>
    <w:p>
      <w:pPr>
        <w:spacing w:line="400" w:lineRule="exact"/>
        <w:ind w:firstLine="480" w:firstLineChars="200"/>
        <w:jc w:val="left"/>
        <w:rPr>
          <w:rFonts w:ascii="宋体" w:hAnsi="宋体" w:cs="宋体"/>
          <w:sz w:val="24"/>
        </w:rPr>
      </w:pPr>
      <w:r>
        <w:rPr>
          <w:rFonts w:hint="eastAsia" w:ascii="宋体" w:hAnsi="宋体" w:cs="宋体"/>
          <w:sz w:val="24"/>
        </w:rPr>
        <w:t>41.8.5.3承包人违反法律法规或我校相关规定，给学校造成重大不良影响。</w:t>
      </w:r>
    </w:p>
    <w:p>
      <w:pPr>
        <w:spacing w:line="400" w:lineRule="exact"/>
        <w:ind w:firstLine="480" w:firstLineChars="200"/>
        <w:jc w:val="left"/>
        <w:rPr>
          <w:rFonts w:ascii="宋体" w:hAnsi="宋体" w:cs="宋体"/>
          <w:sz w:val="24"/>
        </w:rPr>
      </w:pPr>
      <w:r>
        <w:rPr>
          <w:rFonts w:hint="eastAsia" w:ascii="宋体" w:hAnsi="宋体" w:cs="宋体"/>
          <w:sz w:val="24"/>
        </w:rPr>
        <w:t>41.8.5.4承包人在本项目经营期间违法，受到我国司法部门处理。</w:t>
      </w:r>
    </w:p>
    <w:p>
      <w:pPr>
        <w:spacing w:line="400" w:lineRule="exact"/>
        <w:ind w:firstLine="480" w:firstLineChars="200"/>
        <w:jc w:val="left"/>
        <w:rPr>
          <w:rFonts w:ascii="宋体" w:hAnsi="宋体" w:cs="宋体"/>
          <w:sz w:val="24"/>
        </w:rPr>
      </w:pPr>
      <w:r>
        <w:rPr>
          <w:rFonts w:hint="eastAsia" w:ascii="宋体" w:hAnsi="宋体" w:cs="宋体"/>
          <w:sz w:val="24"/>
        </w:rPr>
        <w:t>41.8.5.5因承包人擅自提高饭菜价格、出现食品安全、服务质量等问题，导致引发群体事件，影响恶劣。</w:t>
      </w:r>
    </w:p>
    <w:p>
      <w:pPr>
        <w:spacing w:line="400" w:lineRule="exact"/>
        <w:ind w:firstLine="480" w:firstLineChars="200"/>
        <w:jc w:val="left"/>
        <w:rPr>
          <w:rFonts w:ascii="宋体" w:hAnsi="宋体" w:cs="宋体"/>
          <w:sz w:val="24"/>
        </w:rPr>
      </w:pPr>
      <w:r>
        <w:rPr>
          <w:rFonts w:hint="eastAsia" w:ascii="宋体" w:hAnsi="宋体" w:cs="宋体"/>
          <w:sz w:val="24"/>
        </w:rPr>
        <w:t>41.8.5.6承包人转包本项目，或在经营期间有转包本项目内窗口经营行为。</w:t>
      </w:r>
    </w:p>
    <w:p>
      <w:pPr>
        <w:spacing w:line="400" w:lineRule="exact"/>
        <w:ind w:firstLine="480" w:firstLineChars="200"/>
        <w:jc w:val="left"/>
        <w:rPr>
          <w:rFonts w:ascii="宋体" w:hAnsi="宋体" w:cs="宋体"/>
          <w:sz w:val="24"/>
        </w:rPr>
      </w:pPr>
      <w:r>
        <w:rPr>
          <w:rFonts w:hint="eastAsia" w:ascii="宋体" w:hAnsi="宋体" w:cs="宋体"/>
          <w:sz w:val="24"/>
        </w:rPr>
        <w:t>41.8.5.7承包人不服从我校监管，或无故停止营业的。</w:t>
      </w:r>
    </w:p>
    <w:p>
      <w:pPr>
        <w:spacing w:line="400" w:lineRule="exact"/>
        <w:ind w:firstLine="480" w:firstLineChars="200"/>
        <w:jc w:val="left"/>
        <w:rPr>
          <w:rFonts w:ascii="宋体" w:hAnsi="宋体" w:cs="宋体"/>
          <w:sz w:val="24"/>
        </w:rPr>
      </w:pPr>
      <w:r>
        <w:rPr>
          <w:rFonts w:hint="eastAsia" w:ascii="宋体" w:hAnsi="宋体" w:cs="宋体"/>
          <w:sz w:val="24"/>
        </w:rPr>
        <w:t>41.8.5.8其它违反本合同约定，或有违反我国法律法规违规行为。</w:t>
      </w:r>
    </w:p>
    <w:p>
      <w:pPr>
        <w:spacing w:line="400" w:lineRule="exact"/>
        <w:ind w:firstLine="480" w:firstLineChars="200"/>
        <w:jc w:val="left"/>
        <w:rPr>
          <w:rFonts w:ascii="宋体" w:hAnsi="宋体" w:cs="宋体"/>
          <w:sz w:val="24"/>
        </w:rPr>
      </w:pPr>
      <w:r>
        <w:rPr>
          <w:rFonts w:hint="eastAsia" w:ascii="宋体" w:hAnsi="宋体" w:cs="宋体"/>
          <w:sz w:val="24"/>
        </w:rPr>
        <w:t>41.8.6由于承包人过错终止合同，由此产生的经济损失及法律责任均由承包人承担。承包人应在接到我校“终止合同、退出经营通知”两周内上缴所承包食堂钥匙及食堂内所有设施设备，承包人上交的履约保证金不予退还。</w:t>
      </w:r>
    </w:p>
    <w:p>
      <w:pPr>
        <w:spacing w:line="400" w:lineRule="exact"/>
        <w:ind w:firstLine="480" w:firstLineChars="200"/>
        <w:jc w:val="left"/>
        <w:rPr>
          <w:rFonts w:ascii="宋体" w:hAnsi="宋体" w:cs="宋体"/>
          <w:sz w:val="24"/>
        </w:rPr>
      </w:pPr>
      <w:r>
        <w:rPr>
          <w:rFonts w:hint="eastAsia" w:ascii="宋体" w:hAnsi="宋体" w:cs="宋体"/>
          <w:sz w:val="24"/>
        </w:rPr>
        <w:t>41.8.7合同期未满，我校由于校园基本建设、拆迁等原因需要终止合同时，应提前三个月通知承包人，承包人接获通知后应无偿退出经营。</w:t>
      </w:r>
    </w:p>
    <w:p>
      <w:pPr>
        <w:spacing w:line="400" w:lineRule="exact"/>
        <w:jc w:val="center"/>
        <w:rPr>
          <w:rFonts w:ascii="宋体" w:hAnsi="宋体" w:cs="宋体"/>
          <w:sz w:val="24"/>
        </w:rPr>
      </w:pPr>
    </w:p>
    <w:p>
      <w:pPr>
        <w:spacing w:line="400" w:lineRule="exact"/>
        <w:rPr>
          <w:bCs/>
          <w:sz w:val="32"/>
          <w:szCs w:val="32"/>
        </w:rPr>
      </w:pPr>
    </w:p>
    <w:p>
      <w:pPr>
        <w:spacing w:line="400" w:lineRule="exact"/>
        <w:jc w:val="center"/>
        <w:rPr>
          <w:bCs/>
          <w:sz w:val="32"/>
          <w:szCs w:val="32"/>
        </w:rPr>
      </w:pPr>
      <w:r>
        <w:rPr>
          <w:rFonts w:hint="eastAsia"/>
          <w:bCs/>
          <w:sz w:val="32"/>
          <w:szCs w:val="32"/>
        </w:rPr>
        <w:t>第三部分   合同主要条款</w:t>
      </w:r>
    </w:p>
    <w:p>
      <w:pPr>
        <w:spacing w:line="400" w:lineRule="exact"/>
        <w:ind w:firstLine="480" w:firstLineChars="200"/>
        <w:rPr>
          <w:rFonts w:ascii="宋体" w:hAnsi="宋体" w:cs="宋体"/>
          <w:sz w:val="24"/>
        </w:rPr>
      </w:pPr>
      <w:r>
        <w:rPr>
          <w:rFonts w:hint="eastAsia" w:ascii="宋体" w:hAnsi="宋体" w:cs="宋体"/>
          <w:sz w:val="24"/>
        </w:rPr>
        <w:t xml:space="preserve">  甲方：江苏师范大学后勤集团</w:t>
      </w:r>
    </w:p>
    <w:p>
      <w:pPr>
        <w:spacing w:line="400" w:lineRule="exact"/>
        <w:ind w:firstLine="720" w:firstLineChars="300"/>
        <w:rPr>
          <w:rFonts w:ascii="宋体" w:hAnsi="宋体" w:cs="宋体"/>
          <w:sz w:val="24"/>
        </w:rPr>
      </w:pPr>
      <w:r>
        <w:rPr>
          <w:rFonts w:hint="eastAsia" w:ascii="宋体" w:hAnsi="宋体" w:cs="宋体"/>
          <w:sz w:val="24"/>
        </w:rPr>
        <w:t>乙方：</w:t>
      </w:r>
    </w:p>
    <w:p>
      <w:pPr>
        <w:spacing w:line="400" w:lineRule="exact"/>
        <w:ind w:firstLine="480" w:firstLineChars="200"/>
        <w:rPr>
          <w:rFonts w:ascii="宋体" w:hAnsi="宋体" w:cs="宋体"/>
          <w:sz w:val="24"/>
        </w:rPr>
      </w:pPr>
      <w:r>
        <w:rPr>
          <w:rFonts w:hint="eastAsia" w:ascii="宋体" w:hAnsi="宋体" w:cs="宋体"/>
          <w:sz w:val="24"/>
        </w:rPr>
        <w:t>经协商一致，甲方与乙方签订如下经营服务合同：</w:t>
      </w:r>
    </w:p>
    <w:p>
      <w:pPr>
        <w:spacing w:line="400" w:lineRule="exact"/>
        <w:ind w:left="2580" w:leftChars="200" w:hanging="2160" w:hangingChars="900"/>
        <w:rPr>
          <w:rFonts w:ascii="宋体" w:hAnsi="宋体" w:cs="宋体"/>
          <w:sz w:val="24"/>
          <w:u w:val="single"/>
        </w:rPr>
      </w:pPr>
      <w:r>
        <w:rPr>
          <w:rFonts w:hint="eastAsia" w:ascii="宋体" w:hAnsi="宋体" w:cs="宋体"/>
          <w:sz w:val="24"/>
        </w:rPr>
        <w:t>一、乙方经营，主要经营项目为</w:t>
      </w:r>
      <w:r>
        <w:rPr>
          <w:rFonts w:hint="eastAsia" w:ascii="宋体" w:hAnsi="宋体" w:cs="宋体"/>
          <w:sz w:val="24"/>
          <w:u w:val="single"/>
        </w:rPr>
        <w:t xml:space="preserve">           </w:t>
      </w:r>
      <w:r>
        <w:rPr>
          <w:rFonts w:hint="eastAsia" w:ascii="宋体" w:hAnsi="宋体" w:cs="宋体"/>
          <w:sz w:val="24"/>
        </w:rPr>
        <w:t>。甲方为乙方提供</w:t>
      </w:r>
      <w:r>
        <w:rPr>
          <w:rFonts w:hint="eastAsia" w:ascii="宋体" w:hAnsi="宋体" w:cs="宋体"/>
          <w:sz w:val="24"/>
          <w:u w:val="single"/>
        </w:rPr>
        <w:t xml:space="preserve">         </w:t>
      </w:r>
    </w:p>
    <w:p>
      <w:pPr>
        <w:spacing w:line="400" w:lineRule="exact"/>
        <w:rPr>
          <w:rFonts w:ascii="宋体" w:hAnsi="宋体" w:cs="宋体"/>
          <w:sz w:val="24"/>
        </w:rPr>
      </w:pPr>
      <w:r>
        <w:rPr>
          <w:rFonts w:hint="eastAsia" w:ascii="宋体" w:hAnsi="宋体" w:cs="宋体"/>
          <w:sz w:val="24"/>
          <w:u w:val="single"/>
        </w:rPr>
        <w:t xml:space="preserve">                </w:t>
      </w:r>
      <w:r>
        <w:rPr>
          <w:rFonts w:hint="eastAsia" w:ascii="宋体" w:hAnsi="宋体" w:cs="宋体"/>
          <w:sz w:val="24"/>
        </w:rPr>
        <w:t>等设备（详见双方设备、设施交接清单）。</w:t>
      </w:r>
    </w:p>
    <w:p>
      <w:pPr>
        <w:spacing w:line="400" w:lineRule="exact"/>
        <w:ind w:firstLine="480" w:firstLineChars="200"/>
        <w:rPr>
          <w:rFonts w:ascii="宋体" w:hAnsi="宋体" w:cs="宋体"/>
          <w:sz w:val="24"/>
        </w:rPr>
      </w:pPr>
      <w:r>
        <w:rPr>
          <w:rFonts w:hint="eastAsia" w:ascii="宋体" w:hAnsi="宋体" w:cs="宋体"/>
          <w:sz w:val="24"/>
        </w:rPr>
        <w:t>二、采购保管费提取及经营管理有关规定</w:t>
      </w:r>
    </w:p>
    <w:p>
      <w:pPr>
        <w:spacing w:line="400" w:lineRule="exact"/>
        <w:ind w:firstLine="480" w:firstLineChars="200"/>
        <w:rPr>
          <w:rFonts w:ascii="宋体" w:hAnsi="宋体" w:cs="宋体"/>
          <w:sz w:val="24"/>
        </w:rPr>
      </w:pPr>
      <w:r>
        <w:rPr>
          <w:rFonts w:hint="eastAsia" w:ascii="宋体" w:hAnsi="宋体" w:cs="宋体"/>
          <w:sz w:val="24"/>
        </w:rPr>
        <w:t>1．乙方在经营期间按《招标文件》中规定上缴采购保管费。年最低营业额为</w:t>
      </w:r>
      <w:r>
        <w:rPr>
          <w:rFonts w:hint="eastAsia" w:ascii="宋体" w:hAnsi="宋体" w:cs="宋体"/>
          <w:sz w:val="24"/>
          <w:u w:val="single"/>
        </w:rPr>
        <w:t xml:space="preserve">       </w:t>
      </w:r>
      <w:r>
        <w:rPr>
          <w:rFonts w:hint="eastAsia" w:ascii="宋体" w:hAnsi="宋体" w:cs="宋体"/>
          <w:sz w:val="24"/>
        </w:rPr>
        <w:t>万元，上缴采购保管费的比例为</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rPr>
        <w:t>如在合同期内未完成规定的最低营业额目标，则仍按照最低营业额目标提取采购保管费，如超额完成营业额，则根据实际营业收入提取。</w:t>
      </w:r>
    </w:p>
    <w:p>
      <w:pPr>
        <w:spacing w:line="400" w:lineRule="exact"/>
        <w:ind w:firstLine="480" w:firstLineChars="200"/>
        <w:rPr>
          <w:rFonts w:ascii="宋体" w:hAnsi="宋体" w:cs="宋体"/>
          <w:sz w:val="24"/>
        </w:rPr>
      </w:pPr>
      <w:r>
        <w:rPr>
          <w:rFonts w:hint="eastAsia" w:ascii="宋体" w:hAnsi="宋体" w:cs="宋体"/>
          <w:sz w:val="24"/>
        </w:rPr>
        <w:t>2．签订合同前乙方向甲方交纳履约保证金</w:t>
      </w:r>
      <w:r>
        <w:rPr>
          <w:rFonts w:hint="eastAsia" w:ascii="宋体" w:hAnsi="宋体" w:cs="宋体"/>
          <w:sz w:val="24"/>
          <w:u w:val="single"/>
        </w:rPr>
        <w:t xml:space="preserve">    </w:t>
      </w:r>
      <w:r>
        <w:rPr>
          <w:rFonts w:hint="eastAsia" w:ascii="宋体" w:hAnsi="宋体" w:cs="宋体"/>
          <w:sz w:val="24"/>
        </w:rPr>
        <w:t>万元整。若甲方违约不履行合同，应退还乙方交纳的履约保证金（无息），若乙方违约不履行合同或有其他违约行为，甲方没收乙方交付的全部履约保证金。如遇国家行政机关、学校政策性调整或不可抗力导致此合同不能继续执行，甲方只退还乙方交付的履约保证金（无息），该合同解除，双方互不承担违约责任。</w:t>
      </w:r>
    </w:p>
    <w:p>
      <w:pPr>
        <w:spacing w:line="400" w:lineRule="exact"/>
        <w:ind w:firstLine="480" w:firstLineChars="200"/>
        <w:rPr>
          <w:rFonts w:ascii="宋体" w:hAnsi="宋体" w:cs="宋体"/>
          <w:spacing w:val="-4"/>
          <w:kern w:val="0"/>
          <w:sz w:val="24"/>
        </w:rPr>
      </w:pPr>
      <w:r>
        <w:rPr>
          <w:rFonts w:hint="eastAsia" w:ascii="宋体" w:hAnsi="宋体" w:cs="宋体"/>
          <w:sz w:val="24"/>
        </w:rPr>
        <w:t>3．</w:t>
      </w:r>
      <w:r>
        <w:rPr>
          <w:rFonts w:hint="eastAsia" w:ascii="宋体" w:hAnsi="宋体" w:cs="宋体"/>
          <w:spacing w:val="-4"/>
          <w:kern w:val="0"/>
          <w:sz w:val="24"/>
        </w:rPr>
        <w:t>全部食材均由后勤集团实行集中采购，严禁私自采购，一经发现，严肃处理。第一次处以1000元罚款，第二次处以2000元罚款，直至取消经营合同。有特殊需要的食材须到后勤集团相关部门书面备案后可自行采购。</w:t>
      </w:r>
      <w:r>
        <w:rPr>
          <w:rFonts w:hint="eastAsia" w:ascii="宋体" w:hAnsi="宋体" w:cs="宋体"/>
          <w:sz w:val="24"/>
        </w:rPr>
        <w:t>乙方所使用的米饭全部由甲方米饭生产线按成本价统一供应。</w:t>
      </w:r>
    </w:p>
    <w:p>
      <w:pPr>
        <w:snapToGrid w:val="0"/>
        <w:spacing w:line="400" w:lineRule="exact"/>
        <w:ind w:firstLine="464" w:firstLineChars="200"/>
        <w:rPr>
          <w:rFonts w:ascii="宋体" w:hAnsi="宋体" w:cs="宋体"/>
          <w:spacing w:val="-4"/>
          <w:kern w:val="0"/>
          <w:sz w:val="24"/>
        </w:rPr>
      </w:pPr>
      <w:r>
        <w:rPr>
          <w:rFonts w:hint="eastAsia" w:ascii="宋体" w:hAnsi="宋体" w:cs="宋体"/>
          <w:spacing w:val="-4"/>
          <w:kern w:val="0"/>
          <w:sz w:val="24"/>
        </w:rPr>
        <w:t>4．严格按照合同上规定的品种进行经营，严禁超范围经营。如需新增品种须经饮食服务中心批准后方可经营，如不经批准私自增加新品种，将给予严厉处罚。经营期间，各食堂、网点严禁经营饮料及瓶装水（特殊规定除外）。</w:t>
      </w:r>
    </w:p>
    <w:p>
      <w:pPr>
        <w:snapToGrid w:val="0"/>
        <w:spacing w:line="400" w:lineRule="exact"/>
        <w:ind w:firstLine="464" w:firstLineChars="200"/>
        <w:rPr>
          <w:rFonts w:ascii="宋体" w:hAnsi="宋体" w:cs="宋体"/>
          <w:spacing w:val="-4"/>
          <w:kern w:val="0"/>
          <w:sz w:val="24"/>
        </w:rPr>
      </w:pPr>
      <w:r>
        <w:rPr>
          <w:rFonts w:hint="eastAsia" w:ascii="宋体" w:hAnsi="宋体" w:cs="宋体"/>
          <w:spacing w:val="-4"/>
          <w:kern w:val="0"/>
          <w:sz w:val="24"/>
        </w:rPr>
        <w:t>5．经营期间，各食堂、网点严禁收取现金，第一发现处罚2000元，第二次发现取消经营合同。</w:t>
      </w:r>
    </w:p>
    <w:p>
      <w:pPr>
        <w:spacing w:line="400" w:lineRule="exact"/>
        <w:ind w:firstLine="464" w:firstLineChars="200"/>
        <w:jc w:val="left"/>
        <w:rPr>
          <w:rFonts w:ascii="宋体" w:hAnsi="宋体" w:cs="宋体"/>
          <w:sz w:val="24"/>
        </w:rPr>
      </w:pPr>
      <w:r>
        <w:rPr>
          <w:rFonts w:hint="eastAsia" w:ascii="宋体" w:hAnsi="宋体" w:cs="宋体"/>
          <w:spacing w:val="-4"/>
          <w:kern w:val="0"/>
          <w:sz w:val="24"/>
        </w:rPr>
        <w:t>6．</w:t>
      </w:r>
      <w:r>
        <w:rPr>
          <w:rFonts w:hint="eastAsia" w:ascii="宋体" w:hAnsi="宋体" w:cs="宋体"/>
          <w:sz w:val="24"/>
        </w:rPr>
        <w:t>微信、支付宝等电子收付规定。我校后勤集团饮食服务中心对微信、支付宝等电子收付进行统一管，需要使用微信、支付宝进行收付的，必须先行书面申请，经批准后使用学校统一发放的二维码进行收付，否则将按照收现金条款进行处理。</w:t>
      </w:r>
    </w:p>
    <w:p>
      <w:pPr>
        <w:snapToGrid w:val="0"/>
        <w:spacing w:line="400" w:lineRule="exact"/>
        <w:ind w:firstLine="464" w:firstLineChars="200"/>
        <w:rPr>
          <w:rFonts w:ascii="宋体" w:hAnsi="宋体" w:cs="宋体"/>
          <w:spacing w:val="-4"/>
          <w:kern w:val="0"/>
          <w:sz w:val="24"/>
        </w:rPr>
      </w:pPr>
      <w:r>
        <w:rPr>
          <w:rFonts w:hint="eastAsia" w:ascii="宋体" w:hAnsi="宋体" w:cs="宋体"/>
          <w:spacing w:val="-4"/>
          <w:kern w:val="0"/>
          <w:sz w:val="24"/>
        </w:rPr>
        <w:t>7．关于外卖规定。对于有外卖需求的食堂网点，由饮食服务中心牵头统一与外卖平台进行洽谈合作，营业收入由饮食服务中心统一控制。严禁私自加入外卖平台，如有违反，将按照收取现金的有关条款进行处理。</w:t>
      </w:r>
    </w:p>
    <w:p>
      <w:pPr>
        <w:spacing w:line="400" w:lineRule="exact"/>
        <w:ind w:firstLine="480" w:firstLineChars="200"/>
        <w:rPr>
          <w:rFonts w:ascii="宋体" w:hAnsi="宋体" w:cs="宋体"/>
          <w:sz w:val="24"/>
        </w:rPr>
      </w:pPr>
      <w:r>
        <w:rPr>
          <w:rFonts w:hint="eastAsia" w:ascii="宋体" w:hAnsi="宋体" w:cs="宋体"/>
          <w:sz w:val="24"/>
        </w:rPr>
        <w:t>8．乙方需按照装修方案终稿足额投入资金改造，甲方将对乙方的施工改造情况进行监督审核，如最终未达到合同约定投入金额，将从承包方食堂营业款中扣足。乙方组织改造施工期间如未按照约定的装修方案执行，甲方有权终止合同。</w:t>
      </w:r>
    </w:p>
    <w:p>
      <w:pPr>
        <w:spacing w:line="400" w:lineRule="exact"/>
        <w:ind w:firstLine="480" w:firstLineChars="200"/>
        <w:rPr>
          <w:rFonts w:ascii="宋体" w:hAnsi="宋体" w:cs="宋体"/>
          <w:sz w:val="24"/>
        </w:rPr>
      </w:pPr>
      <w:r>
        <w:rPr>
          <w:rFonts w:hint="eastAsia" w:ascii="宋体" w:hAnsi="宋体" w:cs="宋体"/>
          <w:sz w:val="24"/>
        </w:rPr>
        <w:t>三、乙方同意在经营期间严格遵守以下义务</w:t>
      </w:r>
    </w:p>
    <w:p>
      <w:pPr>
        <w:spacing w:line="400" w:lineRule="exact"/>
        <w:ind w:firstLine="480" w:firstLineChars="200"/>
        <w:rPr>
          <w:rFonts w:ascii="宋体" w:hAnsi="宋体" w:cs="宋体"/>
          <w:sz w:val="24"/>
        </w:rPr>
      </w:pPr>
      <w:r>
        <w:rPr>
          <w:rFonts w:hint="eastAsia" w:ascii="宋体" w:hAnsi="宋体" w:cs="宋体"/>
          <w:sz w:val="24"/>
        </w:rPr>
        <w:t>1．遵守国家的有关法规、政策，遵守学校及各部门的相关规章制度。除经营本合同约定的项目外，未经甲方同意不得扩大经营项目，否则视为违约。如确因需要增加经营项目，书面报甲方批准后实施，因改善经营条件而追加的投资一律由乙方自付。未经甲方同意乙方不得转由他人经营，否则甲方有权终止合同并没收履约保证金。</w:t>
      </w:r>
    </w:p>
    <w:p>
      <w:pPr>
        <w:spacing w:line="400" w:lineRule="exact"/>
        <w:ind w:firstLine="480" w:firstLineChars="200"/>
        <w:rPr>
          <w:rFonts w:ascii="宋体" w:hAnsi="宋体" w:cs="宋体"/>
          <w:sz w:val="24"/>
        </w:rPr>
      </w:pPr>
      <w:r>
        <w:rPr>
          <w:rFonts w:hint="eastAsia" w:ascii="宋体" w:hAnsi="宋体" w:cs="宋体"/>
          <w:sz w:val="24"/>
        </w:rPr>
        <w:t>2．乙方用工必须符合国家的有关用工政策、符合工作岗位要求。乙方根据需要招聘的工作人员必须取得上岗合格证书、经体检取得健康证等，特殊岗位的，要求招聘的人员应当有相应的资质证书。乙方聘用工人的住宿由乙方负责安排，甲方不解决住宿。</w:t>
      </w:r>
    </w:p>
    <w:p>
      <w:pPr>
        <w:spacing w:line="400" w:lineRule="exact"/>
        <w:ind w:firstLine="480" w:firstLineChars="200"/>
        <w:rPr>
          <w:rFonts w:ascii="宋体" w:hAnsi="宋体" w:cs="宋体"/>
          <w:sz w:val="24"/>
        </w:rPr>
      </w:pPr>
      <w:r>
        <w:rPr>
          <w:rFonts w:hint="eastAsia" w:ascii="宋体" w:hAnsi="宋体" w:cs="宋体"/>
          <w:sz w:val="24"/>
        </w:rPr>
        <w:t>3．经营期间乙方必须对职工进行劳动安全教育和管理，严格执行安全操作规程，加强安全检查，杜绝安全隐患。一旦出现人身伤亡事故，乙方承担全部赔偿责任。</w:t>
      </w:r>
    </w:p>
    <w:p>
      <w:pPr>
        <w:spacing w:line="400" w:lineRule="exact"/>
        <w:ind w:firstLine="480" w:firstLineChars="200"/>
        <w:rPr>
          <w:rFonts w:ascii="宋体" w:hAnsi="宋体" w:cs="宋体"/>
          <w:sz w:val="24"/>
        </w:rPr>
      </w:pPr>
      <w:r>
        <w:rPr>
          <w:rFonts w:hint="eastAsia" w:ascii="宋体" w:hAnsi="宋体" w:cs="宋体"/>
          <w:sz w:val="24"/>
        </w:rPr>
        <w:t>4．认真贯彻执行《食品安全法》、《学校食堂与学生集体用餐卫生管理规定》和各项管理制度，做好防火、防盗、防事故工作，防止和杜绝食物中毒事件发生，一旦出现食物中毒，乙方承担全部责任。因出现事故而给甲方造成一定影响的，甲方有权根据情节轻重追究乙方一定数额的违约金，违约金的标准按照事故全部损失的20%计算，甲方也可以随时终止合同并依法追究其法律责任。</w:t>
      </w:r>
    </w:p>
    <w:p>
      <w:pPr>
        <w:spacing w:line="400" w:lineRule="exact"/>
        <w:ind w:firstLine="480" w:firstLineChars="200"/>
        <w:rPr>
          <w:rFonts w:ascii="宋体" w:hAnsi="宋体" w:cs="宋体"/>
          <w:sz w:val="24"/>
        </w:rPr>
      </w:pPr>
      <w:r>
        <w:rPr>
          <w:rFonts w:hint="eastAsia" w:ascii="宋体" w:hAnsi="宋体" w:cs="宋体"/>
          <w:sz w:val="24"/>
        </w:rPr>
        <w:t>5．在经营期间乙方自筹资金，自主经营，自负盈亏,自担风险，完成上缴费用后剩余部分自主分配。</w:t>
      </w:r>
    </w:p>
    <w:p>
      <w:pPr>
        <w:spacing w:line="400" w:lineRule="exact"/>
        <w:ind w:firstLine="480" w:firstLineChars="200"/>
        <w:rPr>
          <w:rFonts w:ascii="宋体" w:hAnsi="宋体" w:cs="宋体"/>
          <w:sz w:val="24"/>
        </w:rPr>
      </w:pPr>
      <w:r>
        <w:rPr>
          <w:rFonts w:hint="eastAsia" w:ascii="宋体" w:hAnsi="宋体" w:cs="宋体"/>
          <w:sz w:val="24"/>
        </w:rPr>
        <w:t>6．经营期间的水、电、汽、原材料、燃料费、售饭系统pos机使用费、劳务费及所需设备购置费、维修费、低值易耗品购置费等由乙方自行负担。</w:t>
      </w:r>
    </w:p>
    <w:p>
      <w:pPr>
        <w:spacing w:line="400" w:lineRule="exact"/>
        <w:ind w:firstLine="480" w:firstLineChars="200"/>
        <w:rPr>
          <w:rFonts w:ascii="宋体" w:hAnsi="宋体" w:cs="宋体"/>
          <w:sz w:val="24"/>
        </w:rPr>
      </w:pPr>
      <w:r>
        <w:rPr>
          <w:rFonts w:hint="eastAsia" w:ascii="宋体" w:hAnsi="宋体" w:cs="宋体"/>
          <w:sz w:val="24"/>
        </w:rPr>
        <w:t>7．乙方有权依照法律、法规且符合本合同第三条第三项的前提下自主招用工作人员并对招聘的职工进行教育、考核和管理，甲方制定统一的职工考核办法，可供乙方参考。</w:t>
      </w:r>
    </w:p>
    <w:p>
      <w:pPr>
        <w:spacing w:line="400" w:lineRule="exact"/>
        <w:ind w:firstLine="480" w:firstLineChars="200"/>
        <w:rPr>
          <w:rFonts w:ascii="宋体" w:hAnsi="宋体" w:cs="宋体"/>
          <w:sz w:val="24"/>
        </w:rPr>
      </w:pPr>
      <w:r>
        <w:rPr>
          <w:rFonts w:hint="eastAsia" w:ascii="宋体" w:hAnsi="宋体" w:cs="宋体"/>
          <w:sz w:val="24"/>
        </w:rPr>
        <w:t>8．乙方所招聘的工作人员是乙方的职工或雇员，和甲方不存在雇佣关系或劳动合同关系。乙方对所招聘的雇员应按时发放工资或报酬，并按相关法律、法规办理社会保险等。乙方招聘的甲方工作人员，其工资、福利、社会保险由乙方自行解决。</w:t>
      </w:r>
    </w:p>
    <w:p>
      <w:pPr>
        <w:spacing w:line="400" w:lineRule="exact"/>
        <w:ind w:firstLine="480" w:firstLineChars="200"/>
        <w:rPr>
          <w:rFonts w:ascii="宋体" w:hAnsi="宋体" w:cs="宋体"/>
          <w:sz w:val="24"/>
        </w:rPr>
      </w:pPr>
      <w:r>
        <w:rPr>
          <w:rFonts w:hint="eastAsia" w:ascii="宋体" w:hAnsi="宋体" w:cs="宋体"/>
          <w:sz w:val="24"/>
        </w:rPr>
        <w:t>9．乙方应妥善保管、保养、使用甲方所提供的设施设备，定期保洁、检修、养护，保证其正常使用，经营期满，乙方应如数返还甲方提供的设备，在经营期间，若出现故障，乙方自行排除，费用由乙方承担，如有损坏或丢失由乙方修复或赔偿。负责操作间、餐厅等处的房屋、设施的保洁及正常使用，并支付餐厅等公共区域的保洁、维修、水电汽等费用。</w:t>
      </w:r>
    </w:p>
    <w:p>
      <w:pPr>
        <w:spacing w:line="400" w:lineRule="exact"/>
        <w:ind w:firstLine="480" w:firstLineChars="200"/>
        <w:rPr>
          <w:rFonts w:ascii="宋体" w:hAnsi="宋体" w:cs="宋体"/>
          <w:sz w:val="24"/>
        </w:rPr>
      </w:pPr>
      <w:r>
        <w:rPr>
          <w:rFonts w:hint="eastAsia" w:ascii="宋体" w:hAnsi="宋体" w:cs="宋体"/>
          <w:sz w:val="24"/>
        </w:rPr>
        <w:t>10．房屋等固有设施不得擅自改造。若因操作确实需要改造的，必须提供有资质的设计部门出具的设计图纸，并报请甲方同意后方可自筹资金改造，改造不得触动房屋的主体结构，影响房屋稳固，合同期满乙方在房屋内添附的附和物（可移动的除外）属甲方所有。未经同意擅自改造的，甲方令其恢复原状并视其更改情况作出处罚。不得擅自将房屋租、借他人，否则甲方有权解除合同。</w:t>
      </w:r>
    </w:p>
    <w:p>
      <w:pPr>
        <w:spacing w:line="400" w:lineRule="exact"/>
        <w:ind w:firstLine="480" w:firstLineChars="200"/>
        <w:rPr>
          <w:rFonts w:ascii="宋体" w:hAnsi="宋体" w:cs="宋体"/>
          <w:sz w:val="24"/>
        </w:rPr>
      </w:pPr>
      <w:r>
        <w:rPr>
          <w:rFonts w:hint="eastAsia" w:ascii="宋体" w:hAnsi="宋体" w:cs="宋体"/>
          <w:sz w:val="24"/>
        </w:rPr>
        <w:t>11．严禁使用液化气、煤炭类、固体生物质类作为燃料，可以自行申请开通天然气，相关费用自理。售饭间内如现场制售食品，须自行安装通风和排烟设施、设备。</w:t>
      </w:r>
    </w:p>
    <w:p>
      <w:pPr>
        <w:spacing w:line="400" w:lineRule="exact"/>
        <w:ind w:firstLine="480" w:firstLineChars="200"/>
        <w:rPr>
          <w:rFonts w:ascii="宋体" w:hAnsi="宋体" w:cs="宋体"/>
          <w:sz w:val="24"/>
        </w:rPr>
      </w:pPr>
      <w:r>
        <w:rPr>
          <w:rFonts w:hint="eastAsia" w:ascii="宋体" w:hAnsi="宋体" w:cs="宋体"/>
          <w:sz w:val="24"/>
        </w:rPr>
        <w:t>12．做到一日三餐食品质价相符、营养卫生，高中低档菜肴比例合理，服务热情周到，食品卫生安全。</w:t>
      </w:r>
    </w:p>
    <w:p>
      <w:pPr>
        <w:spacing w:line="400" w:lineRule="exact"/>
        <w:ind w:firstLine="480" w:firstLineChars="200"/>
        <w:rPr>
          <w:rFonts w:ascii="宋体" w:hAnsi="宋体" w:cs="宋体"/>
          <w:sz w:val="24"/>
        </w:rPr>
      </w:pPr>
      <w:r>
        <w:rPr>
          <w:rFonts w:hint="eastAsia" w:ascii="宋体" w:hAnsi="宋体" w:cs="宋体"/>
          <w:sz w:val="24"/>
        </w:rPr>
        <w:t>13．如乙方不服从甲方合理的监督、管理，出现事故，或伙食质量低劣，学生意见大，甲方有权解除合同并视情节轻重扣除其一定的履约保证金。</w:t>
      </w:r>
    </w:p>
    <w:p>
      <w:pPr>
        <w:spacing w:line="400" w:lineRule="exact"/>
        <w:ind w:firstLine="480" w:firstLineChars="200"/>
        <w:rPr>
          <w:rFonts w:ascii="宋体" w:hAnsi="宋体" w:cs="宋体"/>
          <w:sz w:val="24"/>
        </w:rPr>
      </w:pPr>
      <w:r>
        <w:rPr>
          <w:rFonts w:hint="eastAsia" w:ascii="宋体" w:hAnsi="宋体" w:cs="宋体"/>
          <w:sz w:val="24"/>
        </w:rPr>
        <w:t>14．因经营不善等原因需提前终止合同的，必须提前一个月向甲方提出书面申请，经甲方批准同意后方可停止营业，甲方根据情况扣其部分至全部履约保证金。</w:t>
      </w:r>
    </w:p>
    <w:p>
      <w:pPr>
        <w:spacing w:line="400" w:lineRule="exact"/>
        <w:ind w:firstLine="480" w:firstLineChars="200"/>
        <w:rPr>
          <w:rFonts w:ascii="宋体" w:hAnsi="宋体" w:cs="宋体"/>
          <w:sz w:val="24"/>
        </w:rPr>
      </w:pPr>
      <w:r>
        <w:rPr>
          <w:rFonts w:hint="eastAsia" w:ascii="宋体" w:hAnsi="宋体" w:cs="宋体"/>
          <w:sz w:val="24"/>
        </w:rPr>
        <w:t>15．其它相关要求可以参照甲方及有关部门的管理制度。</w:t>
      </w:r>
    </w:p>
    <w:p>
      <w:pPr>
        <w:spacing w:line="400" w:lineRule="exact"/>
        <w:ind w:firstLine="480" w:firstLineChars="200"/>
        <w:rPr>
          <w:rFonts w:ascii="宋体" w:hAnsi="宋体" w:cs="宋体"/>
          <w:sz w:val="24"/>
        </w:rPr>
      </w:pPr>
      <w:r>
        <w:rPr>
          <w:rFonts w:hint="eastAsia" w:ascii="宋体" w:hAnsi="宋体" w:cs="宋体"/>
          <w:sz w:val="24"/>
        </w:rPr>
        <w:t>16．在经营期间各种费用如遇国家、学校、后勤集团政策性调整，其费用根据招标文件和合同有关规定执行。其他要求以合同的相关条款及甲方的管理制度为准。</w:t>
      </w:r>
    </w:p>
    <w:p>
      <w:pPr>
        <w:spacing w:line="400" w:lineRule="exact"/>
        <w:ind w:firstLine="480" w:firstLineChars="200"/>
        <w:rPr>
          <w:rFonts w:ascii="宋体" w:hAnsi="宋体" w:cs="宋体"/>
          <w:sz w:val="24"/>
        </w:rPr>
      </w:pPr>
      <w:r>
        <w:rPr>
          <w:rFonts w:hint="eastAsia" w:ascii="宋体" w:hAnsi="宋体" w:cs="宋体"/>
          <w:sz w:val="24"/>
        </w:rPr>
        <w:t>17．本合同约定由乙方承担的义务和责任，因某种原因甲方先行承担或垫付的，甲方有权在先行承担或垫付的范围内向乙方追偿。</w:t>
      </w:r>
    </w:p>
    <w:p>
      <w:pPr>
        <w:spacing w:line="400" w:lineRule="exact"/>
        <w:ind w:firstLine="480" w:firstLineChars="200"/>
        <w:rPr>
          <w:rFonts w:ascii="宋体" w:hAnsi="宋体" w:cs="宋体"/>
          <w:sz w:val="24"/>
        </w:rPr>
      </w:pPr>
      <w:r>
        <w:rPr>
          <w:rFonts w:hint="eastAsia" w:ascii="宋体" w:hAnsi="宋体" w:cs="宋体"/>
          <w:sz w:val="24"/>
        </w:rPr>
        <w:t>18．合同期内，寒暑假期间未经批准，不得经营。</w:t>
      </w:r>
    </w:p>
    <w:p>
      <w:pPr>
        <w:spacing w:line="400" w:lineRule="exact"/>
        <w:ind w:firstLine="480" w:firstLineChars="200"/>
        <w:rPr>
          <w:rFonts w:ascii="宋体" w:hAnsi="宋体" w:cs="宋体"/>
          <w:sz w:val="24"/>
        </w:rPr>
      </w:pPr>
      <w:r>
        <w:rPr>
          <w:rFonts w:hint="eastAsia" w:ascii="宋体" w:hAnsi="宋体" w:cs="宋体"/>
          <w:sz w:val="24"/>
        </w:rPr>
        <w:t>四、甲方的责任和义务</w:t>
      </w:r>
    </w:p>
    <w:p>
      <w:pPr>
        <w:spacing w:line="400" w:lineRule="exact"/>
        <w:ind w:firstLine="480" w:firstLineChars="200"/>
        <w:rPr>
          <w:rFonts w:ascii="宋体" w:hAnsi="宋体" w:cs="宋体"/>
          <w:sz w:val="24"/>
        </w:rPr>
      </w:pPr>
      <w:r>
        <w:rPr>
          <w:rFonts w:hint="eastAsia" w:ascii="宋体" w:hAnsi="宋体" w:cs="宋体"/>
          <w:sz w:val="24"/>
        </w:rPr>
        <w:t>1．甲方有权也有义务依照法律、法规及相关规定对乙方的经营进行管理和监督，根据相关法律、法规制定的各种规章制度和操作规范供乙方参考。</w:t>
      </w:r>
    </w:p>
    <w:p>
      <w:pPr>
        <w:spacing w:line="400" w:lineRule="exact"/>
        <w:ind w:firstLine="480" w:firstLineChars="200"/>
        <w:rPr>
          <w:rFonts w:ascii="宋体" w:hAnsi="宋体" w:cs="宋体"/>
          <w:sz w:val="24"/>
        </w:rPr>
      </w:pPr>
      <w:r>
        <w:rPr>
          <w:rFonts w:hint="eastAsia" w:ascii="宋体" w:hAnsi="宋体" w:cs="宋体"/>
          <w:sz w:val="24"/>
        </w:rPr>
        <w:t>2．甲方应主动了解乙方的经营状况，及时提出指导性意见，为乙方的经营排忧解难。</w:t>
      </w:r>
    </w:p>
    <w:p>
      <w:pPr>
        <w:spacing w:line="400" w:lineRule="exact"/>
        <w:ind w:firstLine="480" w:firstLineChars="200"/>
        <w:rPr>
          <w:rFonts w:ascii="宋体" w:hAnsi="宋体" w:cs="宋体"/>
          <w:sz w:val="24"/>
        </w:rPr>
      </w:pPr>
      <w:r>
        <w:rPr>
          <w:rFonts w:hint="eastAsia" w:ascii="宋体" w:hAnsi="宋体" w:cs="宋体"/>
          <w:sz w:val="24"/>
        </w:rPr>
        <w:t>3．甲方应确保乙方的水、电供应，发现故障及时维修。</w:t>
      </w:r>
    </w:p>
    <w:p>
      <w:pPr>
        <w:spacing w:line="400" w:lineRule="exact"/>
        <w:ind w:firstLine="480" w:firstLineChars="200"/>
        <w:rPr>
          <w:rFonts w:ascii="宋体" w:hAnsi="宋体" w:cs="宋体"/>
          <w:sz w:val="24"/>
        </w:rPr>
      </w:pPr>
      <w:r>
        <w:rPr>
          <w:rFonts w:hint="eastAsia" w:ascii="宋体" w:hAnsi="宋体" w:cs="宋体"/>
          <w:sz w:val="24"/>
        </w:rPr>
        <w:t>五、合同的期限</w:t>
      </w:r>
    </w:p>
    <w:p>
      <w:pPr>
        <w:widowControl/>
        <w:snapToGrid w:val="0"/>
        <w:spacing w:line="400" w:lineRule="exact"/>
        <w:ind w:firstLine="480" w:firstLineChars="200"/>
        <w:jc w:val="left"/>
        <w:rPr>
          <w:rFonts w:ascii="宋体" w:hAnsi="宋体" w:cs="宋体"/>
          <w:kern w:val="0"/>
          <w:sz w:val="24"/>
        </w:rPr>
      </w:pPr>
      <w:r>
        <w:rPr>
          <w:rFonts w:hint="eastAsia" w:ascii="宋体" w:hAnsi="宋体" w:cs="宋体"/>
          <w:kern w:val="0"/>
          <w:sz w:val="24"/>
        </w:rPr>
        <w:t>经营期限可为五个学年，且采取“2 + 3”模式，即首签合同期限为两学年（2019年暑假开始至2024年暑假开始），首签期满后，如无违法、违规、违约行为和安全责任事故，可继续履行后三个学年合同，否则合同予以终止。</w:t>
      </w:r>
    </w:p>
    <w:p>
      <w:pPr>
        <w:spacing w:line="400" w:lineRule="exact"/>
        <w:ind w:firstLine="480" w:firstLineChars="200"/>
        <w:rPr>
          <w:rFonts w:ascii="宋体" w:hAnsi="宋体" w:cs="宋体"/>
          <w:sz w:val="24"/>
        </w:rPr>
      </w:pPr>
      <w:r>
        <w:rPr>
          <w:rFonts w:hint="eastAsia" w:ascii="宋体" w:hAnsi="宋体" w:cs="宋体"/>
          <w:sz w:val="24"/>
        </w:rPr>
        <w:t>六、合同期未满，因学校建设需要拆除、改建房屋或另作他用时，应提前三个月通知乙方，乙方届时无条件退迁出房屋。甲方对乙方无任何赔偿和补偿。</w:t>
      </w:r>
    </w:p>
    <w:p>
      <w:pPr>
        <w:spacing w:line="400" w:lineRule="exact"/>
        <w:ind w:firstLine="480" w:firstLineChars="200"/>
        <w:rPr>
          <w:rFonts w:ascii="宋体" w:hAnsi="宋体" w:cs="宋体"/>
          <w:sz w:val="24"/>
        </w:rPr>
      </w:pPr>
      <w:r>
        <w:rPr>
          <w:rFonts w:hint="eastAsia" w:ascii="宋体" w:hAnsi="宋体" w:cs="宋体"/>
          <w:sz w:val="24"/>
        </w:rPr>
        <w:t>七、乙方投标时相应的甲方《招标文件》及乙方的投标文件作为本合同附件，与本合同具有同等法律效力（若合同与招标文件、投标文件有冲突处，以合同为准）。</w:t>
      </w:r>
    </w:p>
    <w:p>
      <w:pPr>
        <w:spacing w:line="400" w:lineRule="exact"/>
        <w:ind w:firstLine="480" w:firstLineChars="200"/>
        <w:rPr>
          <w:rFonts w:ascii="宋体" w:hAnsi="宋体" w:cs="宋体"/>
          <w:sz w:val="24"/>
        </w:rPr>
      </w:pPr>
      <w:r>
        <w:rPr>
          <w:rFonts w:hint="eastAsia" w:ascii="宋体" w:hAnsi="宋体" w:cs="宋体"/>
          <w:sz w:val="24"/>
        </w:rPr>
        <w:t>八、合同未尽事宜，双方协商解决，协商不成任何一方可以向甲方所在地的人民法院提起诉讼。</w:t>
      </w:r>
    </w:p>
    <w:p>
      <w:pPr>
        <w:spacing w:line="400" w:lineRule="exact"/>
        <w:ind w:firstLine="480" w:firstLineChars="200"/>
        <w:rPr>
          <w:rFonts w:ascii="宋体" w:hAnsi="宋体" w:cs="宋体"/>
          <w:sz w:val="24"/>
        </w:rPr>
      </w:pPr>
      <w:r>
        <w:rPr>
          <w:rFonts w:hint="eastAsia" w:ascii="宋体" w:hAnsi="宋体" w:cs="宋体"/>
          <w:sz w:val="24"/>
        </w:rPr>
        <w:t>九、本合同壹式肆份，甲乙双方各壹份、壹份报集团财务部、壹份报集团经营管理部。</w:t>
      </w: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t>甲方（盖章）                           乙方（盖章）</w:t>
      </w: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t>甲方代表（签字）                    乙方代表（签字）</w:t>
      </w: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t>年    月     日                    年   月   日</w:t>
      </w:r>
    </w:p>
    <w:p/>
    <w:p>
      <w:pPr>
        <w:spacing w:line="400" w:lineRule="exact"/>
        <w:jc w:val="center"/>
        <w:rPr>
          <w:b/>
          <w:bCs/>
          <w:sz w:val="32"/>
          <w:szCs w:val="32"/>
        </w:rPr>
      </w:pPr>
    </w:p>
    <w:p>
      <w:pPr>
        <w:spacing w:line="400" w:lineRule="exact"/>
        <w:jc w:val="center"/>
        <w:rPr>
          <w:b/>
          <w:bCs/>
          <w:sz w:val="32"/>
          <w:szCs w:val="32"/>
        </w:rPr>
      </w:pPr>
      <w:r>
        <w:rPr>
          <w:rFonts w:hint="eastAsia"/>
          <w:b/>
          <w:bCs/>
          <w:sz w:val="32"/>
          <w:szCs w:val="32"/>
        </w:rPr>
        <w:t>第四部分   投标文件格式</w:t>
      </w:r>
    </w:p>
    <w:p>
      <w:pPr>
        <w:spacing w:line="400" w:lineRule="exact"/>
        <w:ind w:left="420" w:leftChars="200" w:firstLine="3092" w:firstLineChars="1100"/>
        <w:rPr>
          <w:rFonts w:ascii="宋体" w:hAnsi="宋体" w:cs="宋体"/>
          <w:sz w:val="24"/>
        </w:rPr>
      </w:pPr>
      <w:r>
        <w:rPr>
          <w:rFonts w:hint="eastAsia"/>
          <w:b/>
          <w:bCs/>
          <w:sz w:val="28"/>
        </w:rPr>
        <w:t xml:space="preserve">   </w:t>
      </w:r>
      <w:r>
        <w:rPr>
          <w:rFonts w:hint="eastAsia" w:ascii="宋体" w:hAnsi="宋体" w:cs="宋体"/>
          <w:b/>
          <w:bCs/>
          <w:sz w:val="24"/>
        </w:rPr>
        <w:t xml:space="preserve"> 一、投 标 函</w:t>
      </w:r>
    </w:p>
    <w:p>
      <w:pPr>
        <w:spacing w:line="400" w:lineRule="exact"/>
        <w:rPr>
          <w:rFonts w:ascii="宋体" w:hAnsi="宋体" w:cs="宋体"/>
          <w:sz w:val="24"/>
        </w:rPr>
      </w:pPr>
      <w:r>
        <w:rPr>
          <w:rFonts w:hint="eastAsia" w:ascii="宋体" w:hAnsi="宋体" w:cs="宋体"/>
          <w:sz w:val="24"/>
        </w:rPr>
        <w:t>江苏师范大学：</w:t>
      </w:r>
    </w:p>
    <w:p>
      <w:pPr>
        <w:spacing w:line="400" w:lineRule="exact"/>
        <w:ind w:firstLine="480" w:firstLineChars="200"/>
        <w:rPr>
          <w:rFonts w:ascii="宋体" w:hAnsi="宋体" w:cs="宋体"/>
          <w:b/>
          <w:bCs/>
          <w:sz w:val="24"/>
        </w:rPr>
      </w:pPr>
      <w:r>
        <w:rPr>
          <w:rFonts w:hint="eastAsia" w:ascii="宋体" w:hAnsi="宋体" w:cs="宋体"/>
          <w:sz w:val="24"/>
        </w:rPr>
        <w:t>我方确认收到贵方提供的“</w:t>
      </w:r>
      <w:r>
        <w:rPr>
          <w:rFonts w:hint="eastAsia" w:ascii="宋体" w:hAnsi="宋体" w:cs="宋体"/>
          <w:bCs/>
          <w:sz w:val="24"/>
        </w:rPr>
        <w:t>江苏师范大学泉山校区</w:t>
      </w:r>
      <w:r>
        <w:rPr>
          <w:rFonts w:hint="eastAsia" w:ascii="宋体" w:hAnsi="宋体" w:cs="宋体"/>
          <w:bCs/>
          <w:sz w:val="24"/>
          <w:lang w:val="en-US" w:eastAsia="zh-CN"/>
        </w:rPr>
        <w:t>学生</w:t>
      </w:r>
      <w:r>
        <w:rPr>
          <w:rFonts w:hint="eastAsia" w:ascii="宋体" w:hAnsi="宋体" w:cs="宋体"/>
          <w:bCs/>
          <w:sz w:val="24"/>
        </w:rPr>
        <w:t>一食堂承包经营服务</w:t>
      </w:r>
      <w:r>
        <w:rPr>
          <w:rFonts w:hint="eastAsia" w:ascii="宋体" w:hAnsi="宋体" w:cs="宋体"/>
          <w:sz w:val="24"/>
        </w:rPr>
        <w:t>招标项目【项目编号：           】”的招标文件的全部内容，我方：</w:t>
      </w:r>
      <w:r>
        <w:rPr>
          <w:rFonts w:hint="eastAsia" w:ascii="宋体" w:hAnsi="宋体" w:cs="宋体"/>
          <w:sz w:val="24"/>
          <w:u w:val="single"/>
        </w:rPr>
        <w:t xml:space="preserve">                        </w:t>
      </w:r>
      <w:r>
        <w:rPr>
          <w:rFonts w:hint="eastAsia" w:ascii="宋体" w:hAnsi="宋体" w:cs="宋体"/>
          <w:sz w:val="24"/>
        </w:rPr>
        <w:t xml:space="preserve">  （投标人名称）授权</w:t>
      </w:r>
      <w:r>
        <w:rPr>
          <w:rFonts w:hint="eastAsia" w:ascii="宋体" w:hAnsi="宋体" w:cs="宋体"/>
          <w:sz w:val="24"/>
          <w:u w:val="single"/>
        </w:rPr>
        <w:t xml:space="preserve">               </w:t>
      </w:r>
      <w:r>
        <w:rPr>
          <w:rFonts w:hint="eastAsia" w:ascii="宋体" w:hAnsi="宋体" w:cs="宋体"/>
          <w:sz w:val="24"/>
        </w:rPr>
        <w:t xml:space="preserve"> （授权代表全名、职务）代表公司进行有关本投标的一切事宜。</w:t>
      </w:r>
    </w:p>
    <w:p>
      <w:pPr>
        <w:spacing w:line="400" w:lineRule="exact"/>
        <w:ind w:left="420"/>
        <w:rPr>
          <w:rFonts w:ascii="宋体" w:hAnsi="宋体" w:cs="宋体"/>
          <w:sz w:val="24"/>
        </w:rPr>
      </w:pPr>
      <w:r>
        <w:rPr>
          <w:rFonts w:hint="eastAsia" w:ascii="宋体" w:hAnsi="宋体" w:cs="宋体"/>
          <w:sz w:val="24"/>
        </w:rPr>
        <w:t>我方已完全明白招标文件的所有条款要求，并重申以下几点：</w:t>
      </w:r>
    </w:p>
    <w:p>
      <w:pPr>
        <w:spacing w:line="400" w:lineRule="exact"/>
        <w:ind w:firstLine="240" w:firstLineChars="100"/>
        <w:rPr>
          <w:rFonts w:ascii="宋体" w:hAnsi="宋体" w:cs="宋体"/>
          <w:sz w:val="24"/>
        </w:rPr>
      </w:pPr>
      <w:r>
        <w:rPr>
          <w:rFonts w:hint="eastAsia" w:ascii="宋体" w:hAnsi="宋体" w:cs="宋体"/>
          <w:sz w:val="24"/>
        </w:rPr>
        <w:t>（一）我方决定参加：</w:t>
      </w:r>
      <w:r>
        <w:rPr>
          <w:rFonts w:hint="eastAsia" w:ascii="宋体" w:hAnsi="宋体" w:cs="宋体"/>
          <w:bCs/>
          <w:sz w:val="24"/>
        </w:rPr>
        <w:t>江苏师范大学泉山校区</w:t>
      </w:r>
      <w:r>
        <w:rPr>
          <w:rFonts w:hint="eastAsia" w:ascii="宋体" w:hAnsi="宋体" w:cs="宋体"/>
          <w:bCs/>
          <w:sz w:val="24"/>
          <w:lang w:val="en-US" w:eastAsia="zh-CN"/>
        </w:rPr>
        <w:t>学生</w:t>
      </w:r>
      <w:r>
        <w:rPr>
          <w:rFonts w:hint="eastAsia" w:ascii="宋体" w:hAnsi="宋体" w:cs="宋体"/>
          <w:bCs/>
          <w:sz w:val="24"/>
        </w:rPr>
        <w:t>一食堂承包经营服务</w:t>
      </w:r>
      <w:r>
        <w:rPr>
          <w:rFonts w:hint="eastAsia" w:ascii="宋体" w:hAnsi="宋体" w:cs="宋体"/>
          <w:sz w:val="24"/>
        </w:rPr>
        <w:t>招标项目【项目编号：      】的投标；</w:t>
      </w:r>
    </w:p>
    <w:p>
      <w:pPr>
        <w:spacing w:line="400" w:lineRule="exact"/>
        <w:ind w:firstLine="240" w:firstLineChars="100"/>
        <w:rPr>
          <w:rFonts w:ascii="宋体" w:hAnsi="宋体" w:cs="宋体"/>
          <w:sz w:val="24"/>
        </w:rPr>
      </w:pPr>
      <w:r>
        <w:rPr>
          <w:rFonts w:hint="eastAsia" w:ascii="宋体" w:hAnsi="宋体" w:cs="宋体"/>
          <w:sz w:val="24"/>
        </w:rPr>
        <w:t>（二）我方接受并遵守本招标文件提出的一切要求，商务部分和技术部分如有偏离，将单独列表标出，凡是未列明的项目，均视为接受；</w:t>
      </w:r>
    </w:p>
    <w:p>
      <w:pPr>
        <w:spacing w:line="400" w:lineRule="exact"/>
        <w:ind w:firstLine="240" w:firstLineChars="100"/>
        <w:rPr>
          <w:rFonts w:ascii="宋体" w:hAnsi="宋体" w:cs="宋体"/>
          <w:sz w:val="24"/>
        </w:rPr>
      </w:pPr>
      <w:r>
        <w:rPr>
          <w:rFonts w:hint="eastAsia" w:ascii="宋体" w:hAnsi="宋体" w:cs="宋体"/>
          <w:sz w:val="24"/>
        </w:rPr>
        <w:t>（三）本投标文件有效期投标截止日后</w:t>
      </w:r>
      <w:r>
        <w:rPr>
          <w:rFonts w:hint="eastAsia" w:ascii="宋体" w:hAnsi="宋体" w:cs="宋体"/>
          <w:b/>
          <w:sz w:val="24"/>
          <w:u w:val="single"/>
        </w:rPr>
        <w:t>90天</w:t>
      </w:r>
      <w:r>
        <w:rPr>
          <w:rFonts w:hint="eastAsia" w:ascii="宋体" w:hAnsi="宋体" w:cs="宋体"/>
          <w:sz w:val="24"/>
        </w:rPr>
        <w:t>有效，如中标，有效期延至合同终止日为止；</w:t>
      </w:r>
    </w:p>
    <w:p>
      <w:pPr>
        <w:spacing w:line="400" w:lineRule="exact"/>
        <w:ind w:left="930" w:leftChars="100" w:hanging="720" w:hangingChars="300"/>
        <w:rPr>
          <w:rFonts w:ascii="宋体" w:hAnsi="宋体" w:cs="宋体"/>
          <w:sz w:val="24"/>
        </w:rPr>
      </w:pPr>
      <w:r>
        <w:rPr>
          <w:rFonts w:hint="eastAsia" w:ascii="宋体" w:hAnsi="宋体" w:cs="宋体"/>
          <w:sz w:val="24"/>
        </w:rPr>
        <w:t>（四）我方已详细研究招标文件的所有内容和所有提供的参考资料以及有关附件并完全明白，我方放弃在此方面提出含糊意见或误解的一切权力；</w:t>
      </w:r>
    </w:p>
    <w:p>
      <w:pPr>
        <w:spacing w:line="400" w:lineRule="exact"/>
        <w:ind w:left="930" w:leftChars="100" w:hanging="720" w:hangingChars="300"/>
        <w:rPr>
          <w:rFonts w:ascii="宋体" w:hAnsi="宋体" w:cs="宋体"/>
          <w:sz w:val="24"/>
        </w:rPr>
      </w:pPr>
      <w:r>
        <w:rPr>
          <w:rFonts w:hint="eastAsia" w:ascii="宋体" w:hAnsi="宋体" w:cs="宋体"/>
          <w:sz w:val="24"/>
        </w:rPr>
        <w:t>（五）我方明白并愿意在规定开标时间和日期之后，投标有效期内撤回投标，则投标保证金将被贵方没收；</w:t>
      </w:r>
    </w:p>
    <w:p>
      <w:pPr>
        <w:spacing w:line="400" w:lineRule="exact"/>
        <w:ind w:firstLine="240" w:firstLineChars="100"/>
        <w:rPr>
          <w:rFonts w:ascii="宋体" w:hAnsi="宋体" w:cs="宋体"/>
          <w:sz w:val="24"/>
        </w:rPr>
      </w:pPr>
      <w:r>
        <w:rPr>
          <w:rFonts w:hint="eastAsia" w:ascii="宋体" w:hAnsi="宋体" w:cs="宋体"/>
          <w:sz w:val="24"/>
        </w:rPr>
        <w:t>（六）我方同意按照贵方可能提出的要求而提供与投标有关的任何其他数据信息；</w:t>
      </w:r>
    </w:p>
    <w:p>
      <w:pPr>
        <w:spacing w:line="400" w:lineRule="exact"/>
        <w:ind w:left="930" w:leftChars="100" w:hanging="720" w:hangingChars="300"/>
        <w:rPr>
          <w:rFonts w:ascii="宋体" w:hAnsi="宋体" w:cs="宋体"/>
          <w:sz w:val="24"/>
        </w:rPr>
      </w:pPr>
      <w:r>
        <w:rPr>
          <w:rFonts w:hint="eastAsia" w:ascii="宋体" w:hAnsi="宋体" w:cs="宋体"/>
          <w:sz w:val="24"/>
        </w:rPr>
        <w:t>（七）我方如果中标，将保证履行招标文件以及招标文件修改书（如果有的话）中的全部责任和义务，按质、按量、按期完成《合同书》中的全部任务。</w:t>
      </w:r>
    </w:p>
    <w:p>
      <w:pPr>
        <w:spacing w:line="400" w:lineRule="exact"/>
        <w:ind w:firstLine="240" w:firstLineChars="100"/>
        <w:rPr>
          <w:rFonts w:ascii="宋体" w:hAnsi="宋体" w:cs="宋体"/>
          <w:sz w:val="24"/>
        </w:rPr>
      </w:pPr>
      <w:r>
        <w:rPr>
          <w:rFonts w:hint="eastAsia" w:ascii="宋体" w:hAnsi="宋体" w:cs="宋体"/>
          <w:sz w:val="24"/>
        </w:rPr>
        <w:t>（八）所有与本招标有关的函件请发往下列地址：</w:t>
      </w:r>
    </w:p>
    <w:p>
      <w:pPr>
        <w:spacing w:line="400" w:lineRule="exact"/>
        <w:ind w:left="420"/>
        <w:rPr>
          <w:rFonts w:ascii="宋体" w:hAnsi="宋体" w:cs="宋体"/>
          <w:sz w:val="24"/>
        </w:rPr>
      </w:pPr>
      <w:r>
        <w:rPr>
          <w:rFonts w:hint="eastAsia" w:ascii="宋体" w:hAnsi="宋体" w:cs="宋体"/>
          <w:sz w:val="24"/>
        </w:rPr>
        <w:t xml:space="preserve">    投标人名称：                                投标人（法人公章）：</w:t>
      </w:r>
    </w:p>
    <w:p>
      <w:pPr>
        <w:spacing w:line="400" w:lineRule="exact"/>
        <w:ind w:left="360"/>
        <w:rPr>
          <w:rFonts w:ascii="宋体" w:hAnsi="宋体" w:cs="宋体"/>
          <w:sz w:val="24"/>
        </w:rPr>
      </w:pPr>
      <w:r>
        <w:rPr>
          <w:rFonts w:hint="eastAsia" w:ascii="宋体" w:hAnsi="宋体" w:cs="宋体"/>
          <w:sz w:val="24"/>
        </w:rPr>
        <w:t xml:space="preserve">  </w:t>
      </w:r>
      <w:r>
        <w:rPr>
          <w:rFonts w:hint="eastAsia" w:ascii="宋体" w:hAnsi="宋体" w:cs="宋体"/>
          <w:sz w:val="24"/>
        </w:rPr>
        <w:tab/>
      </w:r>
      <w:r>
        <w:rPr>
          <w:rFonts w:hint="eastAsia" w:ascii="宋体" w:hAnsi="宋体" w:cs="宋体"/>
          <w:sz w:val="24"/>
        </w:rPr>
        <w:t>投标人注册地址</w:t>
      </w:r>
      <w:r>
        <w:rPr>
          <w:rFonts w:hint="eastAsia" w:ascii="宋体" w:hAnsi="宋体" w:cs="宋体"/>
          <w:sz w:val="24"/>
          <w:u w:val="single"/>
        </w:rPr>
        <w:t xml:space="preserve">：              </w:t>
      </w:r>
      <w:r>
        <w:rPr>
          <w:rFonts w:hint="eastAsia" w:ascii="宋体" w:hAnsi="宋体" w:cs="宋体"/>
          <w:sz w:val="24"/>
        </w:rPr>
        <w:t xml:space="preserve">              投标人通讯地址：</w:t>
      </w:r>
    </w:p>
    <w:p>
      <w:pPr>
        <w:spacing w:line="400" w:lineRule="exact"/>
        <w:ind w:left="420" w:firstLine="420"/>
        <w:rPr>
          <w:rFonts w:ascii="宋体" w:hAnsi="宋体" w:cs="宋体"/>
          <w:sz w:val="24"/>
        </w:rPr>
      </w:pPr>
      <w:r>
        <w:rPr>
          <w:rFonts w:hint="eastAsia" w:ascii="宋体" w:hAnsi="宋体" w:cs="宋体"/>
          <w:sz w:val="24"/>
        </w:rPr>
        <w:t>邮政编码</w:t>
      </w:r>
      <w:r>
        <w:rPr>
          <w:rFonts w:hint="eastAsia" w:ascii="宋体" w:hAnsi="宋体" w:cs="宋体"/>
          <w:sz w:val="24"/>
          <w:u w:val="single"/>
        </w:rPr>
        <w:t xml:space="preserve">：                </w:t>
      </w:r>
      <w:r>
        <w:rPr>
          <w:rFonts w:hint="eastAsia" w:ascii="宋体" w:hAnsi="宋体" w:cs="宋体"/>
          <w:sz w:val="24"/>
        </w:rPr>
        <w:t xml:space="preserve">                  授权代表姓名（签名）：</w:t>
      </w:r>
    </w:p>
    <w:p>
      <w:pPr>
        <w:spacing w:line="400" w:lineRule="exact"/>
        <w:ind w:left="420" w:firstLine="420"/>
        <w:rPr>
          <w:rFonts w:ascii="宋体" w:hAnsi="宋体" w:cs="宋体"/>
          <w:sz w:val="24"/>
        </w:rPr>
      </w:pPr>
      <w:r>
        <w:rPr>
          <w:rFonts w:hint="eastAsia" w:ascii="宋体" w:hAnsi="宋体" w:cs="宋体"/>
          <w:sz w:val="24"/>
        </w:rPr>
        <w:t>电    话</w:t>
      </w:r>
      <w:r>
        <w:rPr>
          <w:rFonts w:hint="eastAsia" w:ascii="宋体" w:hAnsi="宋体" w:cs="宋体"/>
          <w:sz w:val="24"/>
          <w:u w:val="single"/>
        </w:rPr>
        <w:t xml:space="preserve">：              </w:t>
      </w:r>
      <w:r>
        <w:rPr>
          <w:rFonts w:hint="eastAsia" w:ascii="宋体" w:hAnsi="宋体" w:cs="宋体"/>
          <w:sz w:val="24"/>
        </w:rPr>
        <w:t xml:space="preserve">                    职    务：              </w:t>
      </w:r>
    </w:p>
    <w:p>
      <w:pPr>
        <w:spacing w:line="400" w:lineRule="exact"/>
        <w:ind w:left="420" w:firstLine="420"/>
        <w:rPr>
          <w:rFonts w:ascii="宋体" w:hAnsi="宋体" w:cs="宋体"/>
          <w:sz w:val="24"/>
        </w:rPr>
      </w:pPr>
      <w:r>
        <w:rPr>
          <w:rFonts w:hint="eastAsia" w:ascii="宋体" w:hAnsi="宋体" w:cs="宋体"/>
          <w:sz w:val="24"/>
        </w:rPr>
        <w:t>传    真</w:t>
      </w:r>
      <w:r>
        <w:rPr>
          <w:rFonts w:hint="eastAsia" w:ascii="宋体" w:hAnsi="宋体" w:cs="宋体"/>
          <w:sz w:val="24"/>
          <w:u w:val="single"/>
        </w:rPr>
        <w:t xml:space="preserve">：              </w:t>
      </w:r>
      <w:r>
        <w:rPr>
          <w:rFonts w:hint="eastAsia" w:ascii="宋体" w:hAnsi="宋体" w:cs="宋体"/>
          <w:sz w:val="24"/>
        </w:rPr>
        <w:t xml:space="preserve">                    授权代表手机：</w:t>
      </w:r>
    </w:p>
    <w:p>
      <w:pPr>
        <w:spacing w:line="400" w:lineRule="exact"/>
        <w:rPr>
          <w:rFonts w:ascii="宋体" w:hAnsi="宋体" w:cs="宋体"/>
          <w:b/>
          <w:bCs/>
          <w:sz w:val="24"/>
        </w:rPr>
      </w:pPr>
      <w:r>
        <w:rPr>
          <w:rFonts w:hint="eastAsia" w:ascii="宋体" w:hAnsi="宋体" w:cs="宋体"/>
          <w:sz w:val="24"/>
        </w:rPr>
        <w:t xml:space="preserve">       日    期：</w:t>
      </w:r>
    </w:p>
    <w:p>
      <w:pPr>
        <w:tabs>
          <w:tab w:val="left" w:pos="2685"/>
        </w:tabs>
        <w:spacing w:line="400" w:lineRule="exact"/>
        <w:ind w:firstLine="138" w:firstLineChars="49"/>
        <w:rPr>
          <w:b/>
          <w:sz w:val="28"/>
        </w:rPr>
      </w:pPr>
      <w:r>
        <w:rPr>
          <w:rFonts w:hint="eastAsia"/>
          <w:b/>
          <w:sz w:val="28"/>
        </w:rPr>
        <w:t xml:space="preserve">                         </w:t>
      </w:r>
    </w:p>
    <w:p>
      <w:pPr>
        <w:spacing w:line="400" w:lineRule="exact"/>
      </w:pPr>
      <w:r>
        <w:rPr>
          <w:rFonts w:hint="eastAsia"/>
        </w:rPr>
        <w:t xml:space="preserve">                               </w:t>
      </w:r>
    </w:p>
    <w:p>
      <w:pPr>
        <w:spacing w:line="400" w:lineRule="exact"/>
        <w:rPr>
          <w:b/>
          <w:bCs/>
          <w:sz w:val="30"/>
        </w:rPr>
      </w:pPr>
      <w:r>
        <w:rPr>
          <w:rFonts w:hint="eastAsia"/>
          <w:sz w:val="30"/>
        </w:rPr>
        <w:t xml:space="preserve">                     二、</w:t>
      </w:r>
      <w:r>
        <w:rPr>
          <w:rFonts w:hint="eastAsia"/>
          <w:b/>
          <w:bCs/>
          <w:sz w:val="30"/>
        </w:rPr>
        <w:t>法定代表人授权书</w:t>
      </w:r>
    </w:p>
    <w:p>
      <w:pPr>
        <w:spacing w:line="400" w:lineRule="exact"/>
        <w:rPr>
          <w:sz w:val="24"/>
        </w:rPr>
      </w:pPr>
      <w:r>
        <w:rPr>
          <w:rFonts w:hint="eastAsia"/>
        </w:rPr>
        <w:t xml:space="preserve"> </w:t>
      </w:r>
      <w:r>
        <w:rPr>
          <w:rFonts w:hint="eastAsia"/>
          <w:sz w:val="24"/>
        </w:rPr>
        <w:t>致：江苏师范大学</w:t>
      </w:r>
    </w:p>
    <w:p>
      <w:pPr>
        <w:spacing w:line="400" w:lineRule="exact"/>
        <w:rPr>
          <w:sz w:val="24"/>
        </w:rPr>
      </w:pPr>
      <w:r>
        <w:rPr>
          <w:rFonts w:hint="eastAsia"/>
          <w:sz w:val="24"/>
        </w:rPr>
        <w:t xml:space="preserve">    本授权书声明：注册于</w:t>
      </w:r>
      <w:r>
        <w:rPr>
          <w:rFonts w:hint="eastAsia"/>
          <w:sz w:val="24"/>
          <w:u w:val="single"/>
        </w:rPr>
        <w:t xml:space="preserve">             （</w:t>
      </w:r>
      <w:r>
        <w:rPr>
          <w:rFonts w:hint="eastAsia"/>
          <w:sz w:val="24"/>
        </w:rPr>
        <w:t>国家或地区）的</w:t>
      </w:r>
      <w:r>
        <w:rPr>
          <w:rFonts w:hint="eastAsia"/>
          <w:sz w:val="24"/>
          <w:u w:val="single"/>
        </w:rPr>
        <w:t xml:space="preserve">              </w:t>
      </w:r>
      <w:r>
        <w:rPr>
          <w:rFonts w:hint="eastAsia"/>
          <w:sz w:val="24"/>
        </w:rPr>
        <w:t xml:space="preserve"> （投标人名称）的在下面签字的</w:t>
      </w:r>
      <w:r>
        <w:rPr>
          <w:rFonts w:hint="eastAsia"/>
          <w:sz w:val="24"/>
          <w:u w:val="single"/>
        </w:rPr>
        <w:t xml:space="preserve">                  </w:t>
      </w:r>
      <w:r>
        <w:rPr>
          <w:rFonts w:hint="eastAsia"/>
          <w:sz w:val="24"/>
        </w:rPr>
        <w:t>（法定代表人的姓名、职务）代表本公司授权在下面签字的</w:t>
      </w:r>
      <w:r>
        <w:rPr>
          <w:rFonts w:hint="eastAsia"/>
          <w:sz w:val="24"/>
          <w:u w:val="single"/>
        </w:rPr>
        <w:t xml:space="preserve">             </w:t>
      </w:r>
      <w:r>
        <w:rPr>
          <w:rFonts w:hint="eastAsia"/>
          <w:sz w:val="24"/>
        </w:rPr>
        <w:t xml:space="preserve"> （被授权人的姓名、职务）为本公司的合法代表人，就“</w:t>
      </w:r>
      <w:r>
        <w:rPr>
          <w:rFonts w:hint="eastAsia"/>
          <w:bCs/>
          <w:sz w:val="24"/>
        </w:rPr>
        <w:t>江苏师范大学泉山校区</w:t>
      </w:r>
      <w:r>
        <w:rPr>
          <w:rFonts w:hint="eastAsia"/>
          <w:bCs/>
          <w:sz w:val="24"/>
          <w:lang w:val="en-US" w:eastAsia="zh-CN"/>
        </w:rPr>
        <w:t>学生</w:t>
      </w:r>
      <w:r>
        <w:rPr>
          <w:rFonts w:hint="eastAsia"/>
          <w:bCs/>
          <w:sz w:val="24"/>
        </w:rPr>
        <w:t>一食堂承包经营服务</w:t>
      </w:r>
      <w:r>
        <w:rPr>
          <w:rFonts w:hint="eastAsia"/>
          <w:sz w:val="24"/>
        </w:rPr>
        <w:t>招标项目【项目编号：           】”招标的投标和合同执行，以我方的名义处理一切与之有关的事宜。</w:t>
      </w:r>
    </w:p>
    <w:p>
      <w:pPr>
        <w:spacing w:line="400" w:lineRule="exact"/>
        <w:rPr>
          <w:sz w:val="24"/>
        </w:rPr>
      </w:pPr>
      <w:r>
        <w:rPr>
          <w:rFonts w:hint="eastAsia"/>
          <w:sz w:val="24"/>
        </w:rPr>
        <w:t xml:space="preserve">    本授权书于     年   月   日签字生效，特此证明。</w:t>
      </w:r>
    </w:p>
    <w:p>
      <w:pPr>
        <w:spacing w:line="400" w:lineRule="exact"/>
        <w:rPr>
          <w:sz w:val="24"/>
        </w:rPr>
      </w:pPr>
    </w:p>
    <w:p>
      <w:pPr>
        <w:spacing w:line="400" w:lineRule="exact"/>
        <w:ind w:firstLine="840"/>
        <w:jc w:val="left"/>
        <w:rPr>
          <w:sz w:val="24"/>
        </w:rPr>
      </w:pPr>
      <w:r>
        <w:rPr>
          <w:rFonts w:hint="eastAsia"/>
          <w:sz w:val="24"/>
        </w:rPr>
        <w:t>投标人（公章）：</w:t>
      </w:r>
    </w:p>
    <w:p>
      <w:pPr>
        <w:spacing w:line="400" w:lineRule="exact"/>
        <w:ind w:firstLine="840"/>
        <w:jc w:val="left"/>
        <w:rPr>
          <w:sz w:val="24"/>
        </w:rPr>
      </w:pPr>
      <w:r>
        <w:rPr>
          <w:rFonts w:hint="eastAsia"/>
          <w:sz w:val="24"/>
        </w:rPr>
        <w:t>地     址：</w:t>
      </w:r>
    </w:p>
    <w:p>
      <w:pPr>
        <w:spacing w:line="400" w:lineRule="exact"/>
        <w:ind w:firstLine="840"/>
        <w:jc w:val="left"/>
        <w:rPr>
          <w:sz w:val="24"/>
        </w:rPr>
      </w:pPr>
      <w:r>
        <w:rPr>
          <w:rFonts w:hint="eastAsia"/>
          <w:sz w:val="24"/>
        </w:rPr>
        <w:t>法定代表人（签字或盖章）：</w:t>
      </w:r>
    </w:p>
    <w:p>
      <w:pPr>
        <w:spacing w:line="400" w:lineRule="exact"/>
        <w:ind w:firstLine="840"/>
        <w:jc w:val="left"/>
        <w:rPr>
          <w:sz w:val="24"/>
        </w:rPr>
      </w:pPr>
      <w:r>
        <w:rPr>
          <w:rFonts w:hint="eastAsia"/>
          <w:sz w:val="24"/>
        </w:rPr>
        <w:t>职      务：</w:t>
      </w:r>
    </w:p>
    <w:p>
      <w:pPr>
        <w:spacing w:line="400" w:lineRule="exact"/>
        <w:ind w:firstLine="840"/>
        <w:jc w:val="left"/>
        <w:rPr>
          <w:sz w:val="24"/>
        </w:rPr>
      </w:pPr>
      <w:r>
        <w:rPr>
          <w:rFonts w:hint="eastAsia"/>
          <w:sz w:val="24"/>
        </w:rPr>
        <w:t>被授权人（签字或盖章）：</w:t>
      </w:r>
    </w:p>
    <w:p>
      <w:pPr>
        <w:spacing w:line="400" w:lineRule="exact"/>
        <w:ind w:firstLine="840"/>
        <w:jc w:val="left"/>
        <w:rPr>
          <w:sz w:val="24"/>
        </w:rPr>
      </w:pPr>
      <w:r>
        <w:rPr>
          <w:rFonts w:hint="eastAsia"/>
          <w:sz w:val="24"/>
        </w:rPr>
        <w:t>职     务：</w:t>
      </w:r>
    </w:p>
    <w:p>
      <w:pPr>
        <w:spacing w:line="400" w:lineRule="exact"/>
      </w:pPr>
    </w:p>
    <w:p>
      <w:pPr>
        <w:spacing w:line="400" w:lineRule="exact"/>
        <w:ind w:firstLine="7308" w:firstLineChars="2600"/>
        <w:rPr>
          <w:sz w:val="24"/>
        </w:rPr>
      </w:pPr>
      <w:r>
        <w:rPr>
          <w:rFonts w:hint="eastAsia"/>
          <w:b/>
          <w:sz w:val="28"/>
        </w:rPr>
        <w:t xml:space="preserve">                 </w:t>
      </w:r>
      <w:r>
        <w:rPr>
          <w:rFonts w:hint="eastAsia"/>
        </w:rPr>
        <w:t xml:space="preserve">                                  </w:t>
      </w:r>
    </w:p>
    <w:p>
      <w:pPr>
        <w:tabs>
          <w:tab w:val="left" w:pos="2685"/>
        </w:tabs>
        <w:spacing w:line="400" w:lineRule="exact"/>
        <w:rPr>
          <w:b/>
          <w:sz w:val="28"/>
        </w:rPr>
      </w:pPr>
    </w:p>
    <w:p>
      <w:pPr>
        <w:tabs>
          <w:tab w:val="left" w:pos="2685"/>
        </w:tabs>
        <w:spacing w:line="400" w:lineRule="exact"/>
        <w:rPr>
          <w:b/>
          <w:sz w:val="28"/>
        </w:rPr>
      </w:pPr>
    </w:p>
    <w:p>
      <w:pPr>
        <w:tabs>
          <w:tab w:val="left" w:pos="2685"/>
        </w:tabs>
        <w:spacing w:line="400" w:lineRule="exact"/>
        <w:ind w:firstLine="138" w:firstLineChars="49"/>
        <w:jc w:val="center"/>
        <w:rPr>
          <w:b/>
          <w:sz w:val="28"/>
        </w:rPr>
      </w:pPr>
      <w:r>
        <w:rPr>
          <w:rFonts w:hint="eastAsia"/>
          <w:b/>
          <w:sz w:val="28"/>
        </w:rPr>
        <w:t>三、企业简介及相关资质证明文件复印件（加盖公司公章）</w:t>
      </w:r>
    </w:p>
    <w:p>
      <w:pPr>
        <w:tabs>
          <w:tab w:val="left" w:pos="2685"/>
        </w:tabs>
        <w:spacing w:line="400" w:lineRule="exact"/>
        <w:ind w:firstLine="138" w:firstLineChars="49"/>
        <w:jc w:val="center"/>
        <w:rPr>
          <w:b/>
          <w:sz w:val="28"/>
        </w:rPr>
      </w:pPr>
    </w:p>
    <w:p>
      <w:pPr>
        <w:tabs>
          <w:tab w:val="left" w:pos="2685"/>
        </w:tabs>
        <w:spacing w:line="400" w:lineRule="exact"/>
        <w:ind w:firstLine="138" w:firstLineChars="49"/>
        <w:jc w:val="center"/>
        <w:rPr>
          <w:b/>
          <w:sz w:val="28"/>
        </w:rPr>
      </w:pPr>
    </w:p>
    <w:p>
      <w:pPr>
        <w:tabs>
          <w:tab w:val="left" w:pos="2685"/>
        </w:tabs>
        <w:spacing w:line="400" w:lineRule="exact"/>
        <w:ind w:firstLine="138" w:firstLineChars="49"/>
        <w:jc w:val="center"/>
        <w:rPr>
          <w:b/>
          <w:sz w:val="28"/>
        </w:rPr>
      </w:pPr>
    </w:p>
    <w:p>
      <w:pPr>
        <w:tabs>
          <w:tab w:val="left" w:pos="2685"/>
        </w:tabs>
        <w:spacing w:line="400" w:lineRule="exact"/>
        <w:ind w:firstLine="138" w:firstLineChars="49"/>
        <w:jc w:val="center"/>
        <w:rPr>
          <w:b/>
          <w:sz w:val="28"/>
        </w:rPr>
      </w:pPr>
    </w:p>
    <w:p>
      <w:pPr>
        <w:tabs>
          <w:tab w:val="left" w:pos="2685"/>
        </w:tabs>
        <w:spacing w:line="400" w:lineRule="exact"/>
        <w:ind w:firstLine="138" w:firstLineChars="49"/>
        <w:jc w:val="center"/>
        <w:rPr>
          <w:b/>
          <w:sz w:val="28"/>
        </w:rPr>
      </w:pPr>
    </w:p>
    <w:p>
      <w:pPr>
        <w:tabs>
          <w:tab w:val="left" w:pos="2685"/>
        </w:tabs>
        <w:spacing w:line="400" w:lineRule="exact"/>
        <w:ind w:firstLine="138" w:firstLineChars="49"/>
        <w:jc w:val="center"/>
        <w:rPr>
          <w:b/>
          <w:sz w:val="28"/>
        </w:rPr>
      </w:pPr>
    </w:p>
    <w:p>
      <w:pPr>
        <w:tabs>
          <w:tab w:val="left" w:pos="2685"/>
        </w:tabs>
        <w:spacing w:line="400" w:lineRule="exact"/>
        <w:ind w:firstLine="138" w:firstLineChars="49"/>
        <w:jc w:val="center"/>
        <w:rPr>
          <w:b/>
          <w:sz w:val="28"/>
        </w:rPr>
      </w:pPr>
      <w:r>
        <w:rPr>
          <w:rFonts w:hint="eastAsia"/>
          <w:b/>
          <w:sz w:val="28"/>
        </w:rPr>
        <w:t>四、企业和拟派管理人员的获奖情况</w:t>
      </w:r>
    </w:p>
    <w:p>
      <w:pPr>
        <w:tabs>
          <w:tab w:val="left" w:pos="2685"/>
        </w:tabs>
        <w:spacing w:line="400" w:lineRule="exact"/>
        <w:ind w:firstLine="138" w:firstLineChars="49"/>
        <w:jc w:val="center"/>
        <w:rPr>
          <w:b/>
          <w:sz w:val="28"/>
        </w:rPr>
      </w:pPr>
    </w:p>
    <w:p>
      <w:pPr>
        <w:tabs>
          <w:tab w:val="left" w:pos="2685"/>
        </w:tabs>
        <w:spacing w:line="400" w:lineRule="exact"/>
        <w:ind w:firstLine="138" w:firstLineChars="49"/>
        <w:jc w:val="center"/>
        <w:rPr>
          <w:b/>
          <w:sz w:val="28"/>
        </w:rPr>
      </w:pPr>
    </w:p>
    <w:p>
      <w:pPr>
        <w:tabs>
          <w:tab w:val="left" w:pos="2685"/>
        </w:tabs>
        <w:spacing w:line="400" w:lineRule="exact"/>
        <w:ind w:firstLine="138" w:firstLineChars="49"/>
        <w:jc w:val="center"/>
        <w:rPr>
          <w:b/>
          <w:sz w:val="28"/>
        </w:rPr>
      </w:pPr>
    </w:p>
    <w:p>
      <w:pPr>
        <w:tabs>
          <w:tab w:val="left" w:pos="2685"/>
        </w:tabs>
        <w:spacing w:line="400" w:lineRule="exact"/>
        <w:rPr>
          <w:b/>
          <w:sz w:val="28"/>
        </w:rPr>
      </w:pPr>
    </w:p>
    <w:p>
      <w:pPr>
        <w:tabs>
          <w:tab w:val="left" w:pos="2685"/>
        </w:tabs>
        <w:spacing w:line="400" w:lineRule="exact"/>
        <w:ind w:firstLine="138" w:firstLineChars="49"/>
        <w:jc w:val="center"/>
        <w:rPr>
          <w:b/>
          <w:sz w:val="28"/>
        </w:rPr>
      </w:pPr>
    </w:p>
    <w:p>
      <w:pPr>
        <w:tabs>
          <w:tab w:val="left" w:pos="2685"/>
        </w:tabs>
        <w:spacing w:line="400" w:lineRule="exact"/>
        <w:ind w:firstLine="138" w:firstLineChars="49"/>
        <w:jc w:val="center"/>
        <w:rPr>
          <w:b/>
          <w:sz w:val="28"/>
        </w:rPr>
      </w:pPr>
      <w:r>
        <w:rPr>
          <w:rFonts w:hint="eastAsia"/>
          <w:b/>
          <w:sz w:val="28"/>
        </w:rPr>
        <w:t>五、企业近五年类似业绩一览表</w:t>
      </w:r>
    </w:p>
    <w:p>
      <w:pPr>
        <w:spacing w:line="400" w:lineRule="exact"/>
        <w:ind w:firstLine="6240" w:firstLineChars="2600"/>
        <w:rPr>
          <w:sz w:val="24"/>
        </w:rPr>
      </w:pPr>
    </w:p>
    <w:tbl>
      <w:tblPr>
        <w:tblStyle w:val="4"/>
        <w:tblW w:w="93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3189"/>
        <w:gridCol w:w="2115"/>
        <w:gridCol w:w="1917"/>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855" w:type="dxa"/>
            <w:vAlign w:val="center"/>
          </w:tcPr>
          <w:p>
            <w:pPr>
              <w:spacing w:line="400" w:lineRule="exact"/>
              <w:jc w:val="center"/>
              <w:rPr>
                <w:b/>
                <w:bCs/>
                <w:szCs w:val="21"/>
              </w:rPr>
            </w:pPr>
            <w:r>
              <w:rPr>
                <w:rFonts w:hint="eastAsia" w:ascii="宋体" w:hAnsi="宋体"/>
                <w:b/>
                <w:bCs/>
                <w:szCs w:val="21"/>
              </w:rPr>
              <w:t>序号</w:t>
            </w:r>
          </w:p>
        </w:tc>
        <w:tc>
          <w:tcPr>
            <w:tcW w:w="3189" w:type="dxa"/>
            <w:vAlign w:val="center"/>
          </w:tcPr>
          <w:p>
            <w:pPr>
              <w:spacing w:line="400" w:lineRule="exact"/>
              <w:jc w:val="center"/>
              <w:rPr>
                <w:b/>
                <w:bCs/>
                <w:szCs w:val="21"/>
              </w:rPr>
            </w:pPr>
            <w:r>
              <w:rPr>
                <w:rFonts w:hint="eastAsia"/>
                <w:b/>
                <w:bCs/>
                <w:szCs w:val="21"/>
              </w:rPr>
              <w:t>单位名称</w:t>
            </w:r>
          </w:p>
        </w:tc>
        <w:tc>
          <w:tcPr>
            <w:tcW w:w="2115" w:type="dxa"/>
            <w:vAlign w:val="center"/>
          </w:tcPr>
          <w:p>
            <w:pPr>
              <w:spacing w:line="400" w:lineRule="exact"/>
              <w:jc w:val="center"/>
              <w:rPr>
                <w:b/>
                <w:bCs/>
                <w:szCs w:val="21"/>
              </w:rPr>
            </w:pPr>
            <w:r>
              <w:rPr>
                <w:rFonts w:hint="eastAsia"/>
                <w:b/>
                <w:bCs/>
                <w:szCs w:val="21"/>
              </w:rPr>
              <w:t>联系人及联系方式</w:t>
            </w:r>
          </w:p>
        </w:tc>
        <w:tc>
          <w:tcPr>
            <w:tcW w:w="1917" w:type="dxa"/>
            <w:vAlign w:val="center"/>
          </w:tcPr>
          <w:p>
            <w:pPr>
              <w:spacing w:line="400" w:lineRule="exact"/>
              <w:jc w:val="center"/>
              <w:rPr>
                <w:rFonts w:ascii="宋体" w:hAnsi="宋体"/>
                <w:b/>
                <w:bCs/>
                <w:szCs w:val="21"/>
              </w:rPr>
            </w:pPr>
            <w:r>
              <w:rPr>
                <w:rFonts w:hint="eastAsia" w:ascii="宋体" w:hAnsi="宋体"/>
                <w:b/>
                <w:bCs/>
                <w:szCs w:val="21"/>
              </w:rPr>
              <w:t>合同总价</w:t>
            </w:r>
          </w:p>
        </w:tc>
        <w:tc>
          <w:tcPr>
            <w:tcW w:w="1232" w:type="dxa"/>
            <w:vAlign w:val="center"/>
          </w:tcPr>
          <w:p>
            <w:pPr>
              <w:spacing w:line="400" w:lineRule="exact"/>
              <w:jc w:val="center"/>
              <w:rPr>
                <w:rFonts w:ascii="宋体" w:hAnsi="宋体"/>
                <w:b/>
                <w:bCs/>
                <w:szCs w:val="21"/>
              </w:rPr>
            </w:pPr>
            <w:r>
              <w:rPr>
                <w:rFonts w:hint="eastAsia" w:ascii="宋体" w:hAnsi="宋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 w:hRule="atLeast"/>
          <w:jc w:val="center"/>
        </w:trPr>
        <w:tc>
          <w:tcPr>
            <w:tcW w:w="855" w:type="dxa"/>
            <w:vAlign w:val="center"/>
          </w:tcPr>
          <w:p>
            <w:pPr>
              <w:spacing w:line="400" w:lineRule="exact"/>
              <w:jc w:val="center"/>
              <w:rPr>
                <w:szCs w:val="21"/>
              </w:rPr>
            </w:pPr>
            <w:r>
              <w:rPr>
                <w:rFonts w:hint="eastAsia"/>
                <w:szCs w:val="21"/>
              </w:rPr>
              <w:t>1</w:t>
            </w:r>
          </w:p>
        </w:tc>
        <w:tc>
          <w:tcPr>
            <w:tcW w:w="3189" w:type="dxa"/>
            <w:vAlign w:val="center"/>
          </w:tcPr>
          <w:p>
            <w:pPr>
              <w:spacing w:line="400" w:lineRule="exact"/>
              <w:jc w:val="center"/>
              <w:rPr>
                <w:rFonts w:ascii="宋体" w:hAnsi="宋体"/>
                <w:sz w:val="24"/>
              </w:rPr>
            </w:pPr>
          </w:p>
        </w:tc>
        <w:tc>
          <w:tcPr>
            <w:tcW w:w="2115" w:type="dxa"/>
            <w:vAlign w:val="center"/>
          </w:tcPr>
          <w:p>
            <w:pPr>
              <w:spacing w:line="400" w:lineRule="exact"/>
              <w:jc w:val="center"/>
              <w:rPr>
                <w:szCs w:val="21"/>
              </w:rPr>
            </w:pPr>
          </w:p>
        </w:tc>
        <w:tc>
          <w:tcPr>
            <w:tcW w:w="1917" w:type="dxa"/>
            <w:vAlign w:val="center"/>
          </w:tcPr>
          <w:p>
            <w:pPr>
              <w:spacing w:line="400" w:lineRule="exact"/>
              <w:rPr>
                <w:szCs w:val="21"/>
              </w:rPr>
            </w:pPr>
          </w:p>
        </w:tc>
        <w:tc>
          <w:tcPr>
            <w:tcW w:w="1232" w:type="dxa"/>
            <w:vAlign w:val="center"/>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1" w:hRule="atLeast"/>
          <w:jc w:val="center"/>
        </w:trPr>
        <w:tc>
          <w:tcPr>
            <w:tcW w:w="855" w:type="dxa"/>
            <w:vAlign w:val="center"/>
          </w:tcPr>
          <w:p>
            <w:pPr>
              <w:spacing w:line="400" w:lineRule="exact"/>
              <w:jc w:val="center"/>
              <w:rPr>
                <w:szCs w:val="21"/>
              </w:rPr>
            </w:pPr>
            <w:r>
              <w:rPr>
                <w:rFonts w:hint="eastAsia"/>
                <w:szCs w:val="21"/>
              </w:rPr>
              <w:t>2</w:t>
            </w:r>
          </w:p>
        </w:tc>
        <w:tc>
          <w:tcPr>
            <w:tcW w:w="3189" w:type="dxa"/>
            <w:vAlign w:val="center"/>
          </w:tcPr>
          <w:p>
            <w:pPr>
              <w:spacing w:line="400" w:lineRule="exact"/>
              <w:jc w:val="center"/>
              <w:rPr>
                <w:sz w:val="24"/>
              </w:rPr>
            </w:pPr>
          </w:p>
        </w:tc>
        <w:tc>
          <w:tcPr>
            <w:tcW w:w="2115" w:type="dxa"/>
            <w:vAlign w:val="center"/>
          </w:tcPr>
          <w:p>
            <w:pPr>
              <w:spacing w:line="400" w:lineRule="exact"/>
              <w:jc w:val="center"/>
              <w:rPr>
                <w:szCs w:val="21"/>
              </w:rPr>
            </w:pPr>
          </w:p>
        </w:tc>
        <w:tc>
          <w:tcPr>
            <w:tcW w:w="1917" w:type="dxa"/>
            <w:vAlign w:val="center"/>
          </w:tcPr>
          <w:p>
            <w:pPr>
              <w:spacing w:line="400" w:lineRule="exact"/>
              <w:rPr>
                <w:szCs w:val="21"/>
              </w:rPr>
            </w:pPr>
          </w:p>
        </w:tc>
        <w:tc>
          <w:tcPr>
            <w:tcW w:w="1232" w:type="dxa"/>
            <w:vAlign w:val="center"/>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1" w:hRule="atLeast"/>
          <w:jc w:val="center"/>
        </w:trPr>
        <w:tc>
          <w:tcPr>
            <w:tcW w:w="855" w:type="dxa"/>
            <w:vAlign w:val="center"/>
          </w:tcPr>
          <w:p>
            <w:pPr>
              <w:spacing w:line="400" w:lineRule="exact"/>
              <w:jc w:val="center"/>
              <w:rPr>
                <w:szCs w:val="21"/>
              </w:rPr>
            </w:pPr>
            <w:r>
              <w:rPr>
                <w:rFonts w:hint="eastAsia"/>
                <w:szCs w:val="21"/>
              </w:rPr>
              <w:t>3</w:t>
            </w:r>
          </w:p>
        </w:tc>
        <w:tc>
          <w:tcPr>
            <w:tcW w:w="3189" w:type="dxa"/>
            <w:vAlign w:val="center"/>
          </w:tcPr>
          <w:p>
            <w:pPr>
              <w:spacing w:line="400" w:lineRule="exact"/>
              <w:jc w:val="center"/>
              <w:rPr>
                <w:sz w:val="24"/>
              </w:rPr>
            </w:pPr>
          </w:p>
        </w:tc>
        <w:tc>
          <w:tcPr>
            <w:tcW w:w="2115" w:type="dxa"/>
            <w:vAlign w:val="center"/>
          </w:tcPr>
          <w:p>
            <w:pPr>
              <w:spacing w:line="400" w:lineRule="exact"/>
              <w:jc w:val="center"/>
              <w:rPr>
                <w:szCs w:val="21"/>
              </w:rPr>
            </w:pPr>
          </w:p>
        </w:tc>
        <w:tc>
          <w:tcPr>
            <w:tcW w:w="1917" w:type="dxa"/>
            <w:vAlign w:val="center"/>
          </w:tcPr>
          <w:p>
            <w:pPr>
              <w:spacing w:line="400" w:lineRule="exact"/>
              <w:rPr>
                <w:szCs w:val="21"/>
              </w:rPr>
            </w:pPr>
          </w:p>
        </w:tc>
        <w:tc>
          <w:tcPr>
            <w:tcW w:w="1232" w:type="dxa"/>
            <w:vAlign w:val="center"/>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1" w:hRule="atLeast"/>
          <w:jc w:val="center"/>
        </w:trPr>
        <w:tc>
          <w:tcPr>
            <w:tcW w:w="855" w:type="dxa"/>
            <w:vAlign w:val="center"/>
          </w:tcPr>
          <w:p>
            <w:pPr>
              <w:spacing w:line="400" w:lineRule="exact"/>
              <w:jc w:val="center"/>
              <w:rPr>
                <w:szCs w:val="21"/>
              </w:rPr>
            </w:pPr>
            <w:r>
              <w:rPr>
                <w:rFonts w:hint="eastAsia"/>
                <w:szCs w:val="21"/>
              </w:rPr>
              <w:t>4</w:t>
            </w:r>
          </w:p>
        </w:tc>
        <w:tc>
          <w:tcPr>
            <w:tcW w:w="3189" w:type="dxa"/>
            <w:vAlign w:val="center"/>
          </w:tcPr>
          <w:p>
            <w:pPr>
              <w:spacing w:line="400" w:lineRule="exact"/>
              <w:jc w:val="center"/>
              <w:rPr>
                <w:sz w:val="24"/>
              </w:rPr>
            </w:pPr>
          </w:p>
        </w:tc>
        <w:tc>
          <w:tcPr>
            <w:tcW w:w="2115" w:type="dxa"/>
            <w:vAlign w:val="center"/>
          </w:tcPr>
          <w:p>
            <w:pPr>
              <w:spacing w:line="400" w:lineRule="exact"/>
              <w:jc w:val="center"/>
              <w:rPr>
                <w:szCs w:val="21"/>
              </w:rPr>
            </w:pPr>
          </w:p>
        </w:tc>
        <w:tc>
          <w:tcPr>
            <w:tcW w:w="1917" w:type="dxa"/>
            <w:vAlign w:val="center"/>
          </w:tcPr>
          <w:p>
            <w:pPr>
              <w:spacing w:line="400" w:lineRule="exact"/>
              <w:rPr>
                <w:szCs w:val="21"/>
              </w:rPr>
            </w:pPr>
          </w:p>
        </w:tc>
        <w:tc>
          <w:tcPr>
            <w:tcW w:w="1232" w:type="dxa"/>
            <w:vAlign w:val="center"/>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1" w:hRule="atLeast"/>
          <w:jc w:val="center"/>
        </w:trPr>
        <w:tc>
          <w:tcPr>
            <w:tcW w:w="855" w:type="dxa"/>
            <w:vAlign w:val="center"/>
          </w:tcPr>
          <w:p>
            <w:pPr>
              <w:spacing w:line="400" w:lineRule="exact"/>
              <w:jc w:val="center"/>
              <w:rPr>
                <w:szCs w:val="21"/>
              </w:rPr>
            </w:pPr>
            <w:r>
              <w:rPr>
                <w:rFonts w:hint="eastAsia"/>
                <w:szCs w:val="21"/>
              </w:rPr>
              <w:t>...</w:t>
            </w:r>
          </w:p>
        </w:tc>
        <w:tc>
          <w:tcPr>
            <w:tcW w:w="3189" w:type="dxa"/>
            <w:vAlign w:val="center"/>
          </w:tcPr>
          <w:p>
            <w:pPr>
              <w:spacing w:line="400" w:lineRule="exact"/>
              <w:jc w:val="center"/>
              <w:rPr>
                <w:sz w:val="24"/>
              </w:rPr>
            </w:pPr>
          </w:p>
        </w:tc>
        <w:tc>
          <w:tcPr>
            <w:tcW w:w="2115" w:type="dxa"/>
            <w:vAlign w:val="center"/>
          </w:tcPr>
          <w:p>
            <w:pPr>
              <w:spacing w:line="400" w:lineRule="exact"/>
              <w:jc w:val="center"/>
              <w:rPr>
                <w:szCs w:val="21"/>
              </w:rPr>
            </w:pPr>
          </w:p>
        </w:tc>
        <w:tc>
          <w:tcPr>
            <w:tcW w:w="1917" w:type="dxa"/>
            <w:vAlign w:val="center"/>
          </w:tcPr>
          <w:p>
            <w:pPr>
              <w:spacing w:line="400" w:lineRule="exact"/>
              <w:rPr>
                <w:szCs w:val="21"/>
              </w:rPr>
            </w:pPr>
          </w:p>
        </w:tc>
        <w:tc>
          <w:tcPr>
            <w:tcW w:w="1232" w:type="dxa"/>
            <w:vAlign w:val="center"/>
          </w:tcPr>
          <w:p>
            <w:pPr>
              <w:spacing w:line="400" w:lineRule="exact"/>
              <w:rPr>
                <w:szCs w:val="21"/>
              </w:rPr>
            </w:pPr>
          </w:p>
        </w:tc>
      </w:tr>
    </w:tbl>
    <w:p>
      <w:pPr>
        <w:spacing w:line="400" w:lineRule="exact"/>
      </w:pPr>
      <w:r>
        <w:rPr>
          <w:rFonts w:hint="eastAsia"/>
        </w:rPr>
        <w:t xml:space="preserve">      注：投标时需提供合同原件备查。                                                </w:t>
      </w:r>
    </w:p>
    <w:p>
      <w:pPr>
        <w:spacing w:line="400" w:lineRule="exact"/>
        <w:rPr>
          <w:sz w:val="24"/>
        </w:rPr>
      </w:pPr>
      <w:r>
        <w:rPr>
          <w:rFonts w:hint="eastAsia"/>
        </w:rPr>
        <w:t xml:space="preserve">                                                         </w:t>
      </w:r>
      <w:r>
        <w:rPr>
          <w:rFonts w:hint="eastAsia"/>
          <w:sz w:val="24"/>
        </w:rPr>
        <w:t>投标人（公章）：</w:t>
      </w:r>
    </w:p>
    <w:p>
      <w:pPr>
        <w:spacing w:line="400" w:lineRule="exact"/>
        <w:ind w:firstLine="3045"/>
        <w:rPr>
          <w:sz w:val="24"/>
        </w:rPr>
      </w:pPr>
      <w:r>
        <w:rPr>
          <w:rFonts w:hint="eastAsia"/>
          <w:sz w:val="24"/>
        </w:rPr>
        <w:t xml:space="preserve">                       授权代表（签字或盖章）：</w:t>
      </w:r>
    </w:p>
    <w:p>
      <w:pPr>
        <w:spacing w:line="400" w:lineRule="exact"/>
        <w:ind w:firstLine="6240" w:firstLineChars="2600"/>
        <w:rPr>
          <w:sz w:val="24"/>
        </w:rPr>
      </w:pPr>
      <w:r>
        <w:rPr>
          <w:rFonts w:hint="eastAsia"/>
          <w:sz w:val="24"/>
        </w:rPr>
        <w:t>日     期：</w:t>
      </w:r>
    </w:p>
    <w:p>
      <w:pPr>
        <w:tabs>
          <w:tab w:val="left" w:pos="2685"/>
        </w:tabs>
        <w:spacing w:line="400" w:lineRule="exact"/>
        <w:ind w:firstLine="138" w:firstLineChars="49"/>
        <w:jc w:val="center"/>
        <w:rPr>
          <w:b/>
          <w:sz w:val="28"/>
        </w:rPr>
      </w:pPr>
      <w:r>
        <w:rPr>
          <w:rFonts w:hint="eastAsia"/>
          <w:b/>
          <w:sz w:val="28"/>
        </w:rPr>
        <w:t>六、本项目的经营保障服务方案</w:t>
      </w:r>
    </w:p>
    <w:p>
      <w:pPr>
        <w:spacing w:line="400" w:lineRule="exact"/>
        <w:rPr>
          <w:b/>
          <w:sz w:val="28"/>
        </w:rPr>
      </w:pPr>
      <w:r>
        <w:rPr>
          <w:rFonts w:hint="eastAsia"/>
          <w:b/>
          <w:sz w:val="28"/>
        </w:rPr>
        <w:t>（</w:t>
      </w:r>
      <w:r>
        <w:rPr>
          <w:rFonts w:hint="eastAsia" w:ascii="宋体" w:hAnsi="宋体" w:cs="宋体"/>
          <w:sz w:val="24"/>
        </w:rPr>
        <w:t>包含总体经营目标、思路，具体经营方案，合理化投资方案，管理措施、制度，到校经营团队组织构成和人员素质，相关承诺与应急预案等。</w:t>
      </w:r>
      <w:r>
        <w:rPr>
          <w:rFonts w:hint="eastAsia"/>
          <w:b/>
          <w:sz w:val="28"/>
        </w:rPr>
        <w:t>）</w:t>
      </w:r>
    </w:p>
    <w:p>
      <w:pPr>
        <w:tabs>
          <w:tab w:val="left" w:pos="2685"/>
        </w:tabs>
        <w:spacing w:line="400" w:lineRule="exact"/>
        <w:ind w:firstLine="138" w:firstLineChars="49"/>
        <w:jc w:val="center"/>
        <w:rPr>
          <w:b/>
          <w:sz w:val="28"/>
        </w:rPr>
      </w:pPr>
    </w:p>
    <w:p>
      <w:pPr>
        <w:tabs>
          <w:tab w:val="left" w:pos="2685"/>
        </w:tabs>
        <w:spacing w:line="400" w:lineRule="exact"/>
        <w:ind w:firstLine="138" w:firstLineChars="49"/>
        <w:jc w:val="center"/>
        <w:rPr>
          <w:b/>
          <w:sz w:val="28"/>
        </w:rPr>
      </w:pPr>
      <w:r>
        <w:rPr>
          <w:rFonts w:hint="eastAsia"/>
          <w:b/>
          <w:sz w:val="28"/>
        </w:rPr>
        <w:t>七、装饰装修方案</w:t>
      </w:r>
    </w:p>
    <w:p>
      <w:pPr>
        <w:spacing w:line="400" w:lineRule="exact"/>
        <w:jc w:val="center"/>
        <w:rPr>
          <w:rFonts w:ascii="宋体" w:hAnsi="宋体" w:cs="宋体"/>
          <w:sz w:val="24"/>
        </w:rPr>
      </w:pPr>
      <w:r>
        <w:rPr>
          <w:rFonts w:hint="eastAsia" w:ascii="宋体" w:hAnsi="宋体" w:cs="宋体"/>
          <w:sz w:val="24"/>
        </w:rPr>
        <w:t>（包括装饰装修设计方案、设计说明、功能性描述、主辅材清单、施工工艺说明，设计图和效果图、</w:t>
      </w:r>
      <w:r>
        <w:rPr>
          <w:rFonts w:hint="eastAsia"/>
          <w:bCs/>
          <w:sz w:val="24"/>
        </w:rPr>
        <w:t>装修费用预算表</w:t>
      </w:r>
      <w:r>
        <w:rPr>
          <w:rFonts w:hint="eastAsia" w:ascii="宋体" w:hAnsi="宋体" w:cs="宋体"/>
          <w:sz w:val="24"/>
        </w:rPr>
        <w:t>等。）</w:t>
      </w:r>
    </w:p>
    <w:p>
      <w:pPr>
        <w:tabs>
          <w:tab w:val="left" w:pos="2685"/>
        </w:tabs>
        <w:spacing w:line="400" w:lineRule="exact"/>
        <w:ind w:firstLine="138" w:firstLineChars="49"/>
        <w:jc w:val="center"/>
        <w:rPr>
          <w:b/>
          <w:sz w:val="28"/>
        </w:rPr>
      </w:pPr>
    </w:p>
    <w:p>
      <w:pPr>
        <w:tabs>
          <w:tab w:val="left" w:pos="2685"/>
        </w:tabs>
        <w:spacing w:line="400" w:lineRule="exact"/>
        <w:ind w:firstLine="138" w:firstLineChars="49"/>
        <w:jc w:val="center"/>
        <w:rPr>
          <w:b/>
          <w:sz w:val="28"/>
        </w:rPr>
      </w:pPr>
    </w:p>
    <w:p>
      <w:pPr>
        <w:tabs>
          <w:tab w:val="left" w:pos="2685"/>
        </w:tabs>
        <w:spacing w:line="400" w:lineRule="exact"/>
        <w:ind w:firstLine="138" w:firstLineChars="49"/>
        <w:jc w:val="center"/>
        <w:rPr>
          <w:b/>
          <w:sz w:val="28"/>
        </w:rPr>
      </w:pPr>
    </w:p>
    <w:p>
      <w:pPr>
        <w:tabs>
          <w:tab w:val="left" w:pos="2685"/>
        </w:tabs>
        <w:spacing w:line="400" w:lineRule="exact"/>
        <w:ind w:firstLine="138" w:firstLineChars="49"/>
        <w:jc w:val="center"/>
        <w:rPr>
          <w:b/>
          <w:sz w:val="28"/>
        </w:rPr>
      </w:pPr>
    </w:p>
    <w:p>
      <w:pPr>
        <w:tabs>
          <w:tab w:val="left" w:pos="2685"/>
        </w:tabs>
        <w:spacing w:line="400" w:lineRule="exact"/>
        <w:ind w:firstLine="138" w:firstLineChars="49"/>
        <w:jc w:val="center"/>
        <w:rPr>
          <w:b/>
          <w:sz w:val="28"/>
        </w:rPr>
      </w:pPr>
      <w:r>
        <w:rPr>
          <w:rFonts w:hint="eastAsia"/>
          <w:b/>
          <w:sz w:val="28"/>
        </w:rPr>
        <w:t>八、商务偏离表</w:t>
      </w:r>
    </w:p>
    <w:p>
      <w:pPr>
        <w:tabs>
          <w:tab w:val="left" w:pos="2685"/>
        </w:tabs>
        <w:spacing w:line="400" w:lineRule="exact"/>
        <w:ind w:firstLine="138" w:firstLineChars="49"/>
        <w:jc w:val="center"/>
        <w:rPr>
          <w:b/>
          <w:sz w:val="28"/>
        </w:rPr>
      </w:pPr>
    </w:p>
    <w:tbl>
      <w:tblPr>
        <w:tblStyle w:val="4"/>
        <w:tblpPr w:leftFromText="180" w:rightFromText="180" w:vertAnchor="text" w:tblpY="1"/>
        <w:tblOverlap w:val="never"/>
        <w:tblW w:w="10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4"/>
        <w:gridCol w:w="2041"/>
        <w:gridCol w:w="2387"/>
        <w:gridCol w:w="2387"/>
        <w:gridCol w:w="2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1024" w:type="dxa"/>
            <w:vAlign w:val="center"/>
          </w:tcPr>
          <w:p>
            <w:pPr>
              <w:jc w:val="center"/>
              <w:rPr>
                <w:b/>
                <w:bCs/>
              </w:rPr>
            </w:pPr>
            <w:r>
              <w:rPr>
                <w:rFonts w:hint="eastAsia"/>
                <w:b/>
                <w:bCs/>
              </w:rPr>
              <w:t>序号</w:t>
            </w:r>
          </w:p>
        </w:tc>
        <w:tc>
          <w:tcPr>
            <w:tcW w:w="2041" w:type="dxa"/>
            <w:vAlign w:val="center"/>
          </w:tcPr>
          <w:p>
            <w:pPr>
              <w:jc w:val="center"/>
              <w:rPr>
                <w:b/>
                <w:bCs/>
              </w:rPr>
            </w:pPr>
            <w:r>
              <w:rPr>
                <w:rFonts w:hint="eastAsia"/>
                <w:b/>
                <w:bCs/>
              </w:rPr>
              <w:t>招标文件条目号</w:t>
            </w:r>
          </w:p>
        </w:tc>
        <w:tc>
          <w:tcPr>
            <w:tcW w:w="2387" w:type="dxa"/>
            <w:vAlign w:val="center"/>
          </w:tcPr>
          <w:p>
            <w:pPr>
              <w:jc w:val="center"/>
              <w:rPr>
                <w:b/>
                <w:bCs/>
              </w:rPr>
            </w:pPr>
            <w:r>
              <w:rPr>
                <w:rFonts w:hint="eastAsia"/>
                <w:b/>
                <w:bCs/>
              </w:rPr>
              <w:t>招标文件商务条款</w:t>
            </w:r>
          </w:p>
        </w:tc>
        <w:tc>
          <w:tcPr>
            <w:tcW w:w="2387" w:type="dxa"/>
            <w:vAlign w:val="center"/>
          </w:tcPr>
          <w:p>
            <w:pPr>
              <w:jc w:val="center"/>
              <w:rPr>
                <w:b/>
                <w:bCs/>
              </w:rPr>
            </w:pPr>
            <w:r>
              <w:rPr>
                <w:rFonts w:hint="eastAsia"/>
                <w:b/>
                <w:bCs/>
              </w:rPr>
              <w:t>投标文件商务条款</w:t>
            </w:r>
          </w:p>
        </w:tc>
        <w:tc>
          <w:tcPr>
            <w:tcW w:w="2201" w:type="dxa"/>
            <w:vAlign w:val="center"/>
          </w:tcPr>
          <w:p>
            <w:pPr>
              <w:jc w:val="center"/>
              <w:rPr>
                <w:b/>
                <w:bCs/>
              </w:rPr>
            </w:pPr>
            <w:r>
              <w:rPr>
                <w:rFonts w:hint="eastAsia"/>
                <w:b/>
                <w:bCs/>
              </w:rPr>
              <w:t>正/负偏离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1024" w:type="dxa"/>
            <w:vAlign w:val="center"/>
          </w:tcPr>
          <w:p>
            <w:pPr>
              <w:jc w:val="center"/>
            </w:pPr>
            <w:r>
              <w:rPr>
                <w:rFonts w:hint="eastAsia"/>
              </w:rPr>
              <w:t>1</w:t>
            </w:r>
          </w:p>
        </w:tc>
        <w:tc>
          <w:tcPr>
            <w:tcW w:w="2041" w:type="dxa"/>
            <w:vAlign w:val="center"/>
          </w:tcPr>
          <w:p>
            <w:pPr>
              <w:jc w:val="center"/>
            </w:pPr>
          </w:p>
        </w:tc>
        <w:tc>
          <w:tcPr>
            <w:tcW w:w="2387" w:type="dxa"/>
            <w:vAlign w:val="center"/>
          </w:tcPr>
          <w:p>
            <w:pPr>
              <w:jc w:val="center"/>
            </w:pPr>
          </w:p>
        </w:tc>
        <w:tc>
          <w:tcPr>
            <w:tcW w:w="2387" w:type="dxa"/>
            <w:vAlign w:val="center"/>
          </w:tcPr>
          <w:p>
            <w:pPr>
              <w:jc w:val="center"/>
            </w:pPr>
          </w:p>
        </w:tc>
        <w:tc>
          <w:tcPr>
            <w:tcW w:w="220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1024" w:type="dxa"/>
            <w:vAlign w:val="center"/>
          </w:tcPr>
          <w:p>
            <w:pPr>
              <w:jc w:val="center"/>
            </w:pPr>
            <w:r>
              <w:rPr>
                <w:rFonts w:hint="eastAsia"/>
              </w:rPr>
              <w:t>2</w:t>
            </w:r>
          </w:p>
        </w:tc>
        <w:tc>
          <w:tcPr>
            <w:tcW w:w="2041" w:type="dxa"/>
            <w:vAlign w:val="center"/>
          </w:tcPr>
          <w:p>
            <w:pPr>
              <w:jc w:val="center"/>
            </w:pPr>
          </w:p>
        </w:tc>
        <w:tc>
          <w:tcPr>
            <w:tcW w:w="2387" w:type="dxa"/>
            <w:vAlign w:val="center"/>
          </w:tcPr>
          <w:p>
            <w:pPr>
              <w:jc w:val="center"/>
            </w:pPr>
          </w:p>
        </w:tc>
        <w:tc>
          <w:tcPr>
            <w:tcW w:w="2387" w:type="dxa"/>
            <w:vAlign w:val="center"/>
          </w:tcPr>
          <w:p>
            <w:pPr>
              <w:jc w:val="center"/>
            </w:pPr>
          </w:p>
        </w:tc>
        <w:tc>
          <w:tcPr>
            <w:tcW w:w="220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1024" w:type="dxa"/>
            <w:vAlign w:val="center"/>
          </w:tcPr>
          <w:p>
            <w:pPr>
              <w:jc w:val="center"/>
            </w:pPr>
            <w:r>
              <w:rPr>
                <w:rFonts w:hint="eastAsia"/>
              </w:rPr>
              <w:t>3</w:t>
            </w:r>
          </w:p>
        </w:tc>
        <w:tc>
          <w:tcPr>
            <w:tcW w:w="2041" w:type="dxa"/>
            <w:vAlign w:val="center"/>
          </w:tcPr>
          <w:p>
            <w:pPr>
              <w:jc w:val="center"/>
            </w:pPr>
          </w:p>
        </w:tc>
        <w:tc>
          <w:tcPr>
            <w:tcW w:w="2387" w:type="dxa"/>
            <w:vAlign w:val="center"/>
          </w:tcPr>
          <w:p>
            <w:pPr>
              <w:jc w:val="center"/>
            </w:pPr>
          </w:p>
        </w:tc>
        <w:tc>
          <w:tcPr>
            <w:tcW w:w="2387" w:type="dxa"/>
            <w:vAlign w:val="center"/>
          </w:tcPr>
          <w:p>
            <w:pPr>
              <w:jc w:val="center"/>
            </w:pPr>
          </w:p>
        </w:tc>
        <w:tc>
          <w:tcPr>
            <w:tcW w:w="220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1024" w:type="dxa"/>
            <w:vAlign w:val="center"/>
          </w:tcPr>
          <w:p>
            <w:pPr>
              <w:jc w:val="center"/>
            </w:pPr>
            <w:r>
              <w:rPr>
                <w:rFonts w:hint="eastAsia"/>
              </w:rPr>
              <w:t>4</w:t>
            </w:r>
          </w:p>
        </w:tc>
        <w:tc>
          <w:tcPr>
            <w:tcW w:w="2041" w:type="dxa"/>
            <w:vAlign w:val="center"/>
          </w:tcPr>
          <w:p>
            <w:pPr>
              <w:jc w:val="center"/>
            </w:pPr>
          </w:p>
        </w:tc>
        <w:tc>
          <w:tcPr>
            <w:tcW w:w="2387" w:type="dxa"/>
            <w:vAlign w:val="center"/>
          </w:tcPr>
          <w:p>
            <w:pPr>
              <w:jc w:val="center"/>
            </w:pPr>
          </w:p>
        </w:tc>
        <w:tc>
          <w:tcPr>
            <w:tcW w:w="2387" w:type="dxa"/>
            <w:vAlign w:val="center"/>
          </w:tcPr>
          <w:p>
            <w:pPr>
              <w:jc w:val="center"/>
            </w:pPr>
          </w:p>
        </w:tc>
        <w:tc>
          <w:tcPr>
            <w:tcW w:w="2201" w:type="dxa"/>
            <w:vAlign w:val="center"/>
          </w:tcPr>
          <w:p>
            <w:pPr>
              <w:jc w:val="center"/>
            </w:pPr>
          </w:p>
        </w:tc>
      </w:tr>
      <w:tr>
        <w:tblPrEx>
          <w:tblLayout w:type="fixed"/>
          <w:tblCellMar>
            <w:top w:w="0" w:type="dxa"/>
            <w:left w:w="108" w:type="dxa"/>
            <w:bottom w:w="0" w:type="dxa"/>
            <w:right w:w="108" w:type="dxa"/>
          </w:tblCellMar>
        </w:tblPrEx>
        <w:trPr>
          <w:trHeight w:val="411" w:hRule="atLeast"/>
        </w:trPr>
        <w:tc>
          <w:tcPr>
            <w:tcW w:w="1024" w:type="dxa"/>
            <w:vAlign w:val="center"/>
          </w:tcPr>
          <w:p>
            <w:pPr>
              <w:jc w:val="center"/>
            </w:pPr>
            <w:r>
              <w:rPr>
                <w:rFonts w:hint="eastAsia"/>
              </w:rPr>
              <w:t>5</w:t>
            </w:r>
          </w:p>
        </w:tc>
        <w:tc>
          <w:tcPr>
            <w:tcW w:w="2041" w:type="dxa"/>
            <w:vAlign w:val="center"/>
          </w:tcPr>
          <w:p>
            <w:pPr>
              <w:jc w:val="center"/>
            </w:pPr>
          </w:p>
        </w:tc>
        <w:tc>
          <w:tcPr>
            <w:tcW w:w="2387" w:type="dxa"/>
            <w:vAlign w:val="center"/>
          </w:tcPr>
          <w:p>
            <w:pPr>
              <w:jc w:val="center"/>
            </w:pPr>
          </w:p>
        </w:tc>
        <w:tc>
          <w:tcPr>
            <w:tcW w:w="2387" w:type="dxa"/>
            <w:vAlign w:val="center"/>
          </w:tcPr>
          <w:p>
            <w:pPr>
              <w:jc w:val="center"/>
            </w:pPr>
          </w:p>
        </w:tc>
        <w:tc>
          <w:tcPr>
            <w:tcW w:w="2201" w:type="dxa"/>
            <w:vAlign w:val="center"/>
          </w:tcPr>
          <w:p>
            <w:pPr>
              <w:jc w:val="center"/>
            </w:pPr>
          </w:p>
        </w:tc>
      </w:tr>
      <w:tr>
        <w:tblPrEx>
          <w:tblLayout w:type="fixed"/>
          <w:tblCellMar>
            <w:top w:w="0" w:type="dxa"/>
            <w:left w:w="108" w:type="dxa"/>
            <w:bottom w:w="0" w:type="dxa"/>
            <w:right w:w="108" w:type="dxa"/>
          </w:tblCellMar>
        </w:tblPrEx>
        <w:trPr>
          <w:trHeight w:val="482" w:hRule="atLeast"/>
        </w:trPr>
        <w:tc>
          <w:tcPr>
            <w:tcW w:w="1024" w:type="dxa"/>
            <w:vAlign w:val="center"/>
          </w:tcPr>
          <w:p>
            <w:pPr>
              <w:jc w:val="center"/>
            </w:pPr>
            <w:r>
              <w:rPr>
                <w:rFonts w:hint="eastAsia"/>
              </w:rPr>
              <w:t>...</w:t>
            </w:r>
          </w:p>
        </w:tc>
        <w:tc>
          <w:tcPr>
            <w:tcW w:w="2041" w:type="dxa"/>
            <w:vAlign w:val="center"/>
          </w:tcPr>
          <w:p>
            <w:pPr>
              <w:jc w:val="center"/>
            </w:pPr>
          </w:p>
        </w:tc>
        <w:tc>
          <w:tcPr>
            <w:tcW w:w="2387" w:type="dxa"/>
            <w:vAlign w:val="center"/>
          </w:tcPr>
          <w:p>
            <w:pPr>
              <w:jc w:val="center"/>
            </w:pPr>
          </w:p>
        </w:tc>
        <w:tc>
          <w:tcPr>
            <w:tcW w:w="2387" w:type="dxa"/>
            <w:vAlign w:val="center"/>
          </w:tcPr>
          <w:p>
            <w:pPr>
              <w:jc w:val="center"/>
            </w:pPr>
          </w:p>
        </w:tc>
        <w:tc>
          <w:tcPr>
            <w:tcW w:w="2201" w:type="dxa"/>
            <w:vAlign w:val="center"/>
          </w:tcPr>
          <w:p>
            <w:pPr>
              <w:jc w:val="center"/>
            </w:pPr>
          </w:p>
        </w:tc>
      </w:tr>
    </w:tbl>
    <w:p>
      <w:pPr>
        <w:spacing w:line="400" w:lineRule="exact"/>
        <w:rPr>
          <w:sz w:val="24"/>
        </w:rPr>
      </w:pPr>
      <w:r>
        <w:rPr>
          <w:rFonts w:hint="eastAsia"/>
        </w:rPr>
        <w:t xml:space="preserve">                                                          </w:t>
      </w:r>
      <w:r>
        <w:rPr>
          <w:rFonts w:hint="eastAsia"/>
          <w:sz w:val="24"/>
        </w:rPr>
        <w:t>投标人（公章）：</w:t>
      </w:r>
    </w:p>
    <w:p>
      <w:pPr>
        <w:spacing w:line="400" w:lineRule="exact"/>
        <w:ind w:firstLine="3045"/>
        <w:rPr>
          <w:sz w:val="24"/>
        </w:rPr>
      </w:pPr>
      <w:r>
        <w:rPr>
          <w:rFonts w:hint="eastAsia"/>
          <w:sz w:val="24"/>
        </w:rPr>
        <w:t xml:space="preserve">                       授权代表（签字或盖章）：</w:t>
      </w:r>
    </w:p>
    <w:p>
      <w:pPr>
        <w:spacing w:line="400" w:lineRule="exact"/>
        <w:ind w:firstLine="6240" w:firstLineChars="2600"/>
        <w:rPr>
          <w:sz w:val="24"/>
        </w:rPr>
      </w:pPr>
      <w:r>
        <w:rPr>
          <w:rFonts w:hint="eastAsia"/>
          <w:sz w:val="24"/>
        </w:rPr>
        <w:t>日     期：</w:t>
      </w:r>
    </w:p>
    <w:p>
      <w:pPr>
        <w:tabs>
          <w:tab w:val="left" w:pos="0"/>
        </w:tabs>
        <w:spacing w:line="400" w:lineRule="exact"/>
        <w:jc w:val="center"/>
        <w:rPr>
          <w:b/>
          <w:sz w:val="28"/>
        </w:rPr>
      </w:pPr>
      <w:r>
        <w:rPr>
          <w:rFonts w:hint="eastAsia"/>
          <w:b/>
          <w:sz w:val="28"/>
        </w:rPr>
        <w:t>九、技术（服务）偏离表</w:t>
      </w:r>
    </w:p>
    <w:tbl>
      <w:tblPr>
        <w:tblStyle w:val="4"/>
        <w:tblpPr w:leftFromText="180" w:rightFromText="180" w:vertAnchor="text" w:horzAnchor="margin" w:tblpY="132"/>
        <w:tblOverlap w:val="never"/>
        <w:tblW w:w="10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2386"/>
        <w:gridCol w:w="2387"/>
        <w:gridCol w:w="2387"/>
        <w:gridCol w:w="2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679" w:type="dxa"/>
            <w:vAlign w:val="center"/>
          </w:tcPr>
          <w:p>
            <w:pPr>
              <w:jc w:val="center"/>
            </w:pPr>
            <w:r>
              <w:rPr>
                <w:rFonts w:hint="eastAsia"/>
              </w:rPr>
              <w:t>序号</w:t>
            </w:r>
          </w:p>
        </w:tc>
        <w:tc>
          <w:tcPr>
            <w:tcW w:w="2386" w:type="dxa"/>
            <w:vAlign w:val="center"/>
          </w:tcPr>
          <w:p>
            <w:pPr>
              <w:jc w:val="center"/>
            </w:pPr>
            <w:r>
              <w:rPr>
                <w:rFonts w:hint="eastAsia"/>
              </w:rPr>
              <w:t>招标文件条目号</w:t>
            </w:r>
          </w:p>
        </w:tc>
        <w:tc>
          <w:tcPr>
            <w:tcW w:w="2387" w:type="dxa"/>
            <w:vAlign w:val="center"/>
          </w:tcPr>
          <w:p>
            <w:pPr>
              <w:jc w:val="center"/>
            </w:pPr>
            <w:r>
              <w:rPr>
                <w:rFonts w:hint="eastAsia"/>
              </w:rPr>
              <w:t>招标文件技术条款</w:t>
            </w:r>
          </w:p>
        </w:tc>
        <w:tc>
          <w:tcPr>
            <w:tcW w:w="2387" w:type="dxa"/>
            <w:vAlign w:val="center"/>
          </w:tcPr>
          <w:p>
            <w:pPr>
              <w:jc w:val="center"/>
            </w:pPr>
            <w:r>
              <w:rPr>
                <w:rFonts w:hint="eastAsia"/>
              </w:rPr>
              <w:t>投标文件技术条款</w:t>
            </w:r>
          </w:p>
        </w:tc>
        <w:tc>
          <w:tcPr>
            <w:tcW w:w="2233" w:type="dxa"/>
            <w:vAlign w:val="center"/>
          </w:tcPr>
          <w:p>
            <w:pPr>
              <w:jc w:val="center"/>
            </w:pPr>
            <w:r>
              <w:rPr>
                <w:rFonts w:hint="eastAsia"/>
              </w:rPr>
              <w:t>正/负偏离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679" w:type="dxa"/>
            <w:vAlign w:val="center"/>
          </w:tcPr>
          <w:p>
            <w:pPr>
              <w:jc w:val="center"/>
            </w:pPr>
            <w:r>
              <w:rPr>
                <w:rFonts w:hint="eastAsia"/>
              </w:rPr>
              <w:t>1</w:t>
            </w:r>
          </w:p>
        </w:tc>
        <w:tc>
          <w:tcPr>
            <w:tcW w:w="2386" w:type="dxa"/>
            <w:vAlign w:val="center"/>
          </w:tcPr>
          <w:p>
            <w:pPr>
              <w:jc w:val="center"/>
            </w:pPr>
          </w:p>
        </w:tc>
        <w:tc>
          <w:tcPr>
            <w:tcW w:w="2387" w:type="dxa"/>
            <w:vAlign w:val="center"/>
          </w:tcPr>
          <w:p>
            <w:pPr>
              <w:jc w:val="center"/>
            </w:pPr>
          </w:p>
        </w:tc>
        <w:tc>
          <w:tcPr>
            <w:tcW w:w="2387" w:type="dxa"/>
            <w:vAlign w:val="center"/>
          </w:tcPr>
          <w:p>
            <w:pPr>
              <w:jc w:val="center"/>
            </w:pPr>
          </w:p>
        </w:tc>
        <w:tc>
          <w:tcPr>
            <w:tcW w:w="223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679" w:type="dxa"/>
            <w:vAlign w:val="center"/>
          </w:tcPr>
          <w:p>
            <w:pPr>
              <w:jc w:val="center"/>
            </w:pPr>
            <w:r>
              <w:rPr>
                <w:rFonts w:hint="eastAsia"/>
              </w:rPr>
              <w:t>2</w:t>
            </w:r>
          </w:p>
        </w:tc>
        <w:tc>
          <w:tcPr>
            <w:tcW w:w="2386" w:type="dxa"/>
            <w:vAlign w:val="center"/>
          </w:tcPr>
          <w:p>
            <w:pPr>
              <w:jc w:val="center"/>
            </w:pPr>
          </w:p>
        </w:tc>
        <w:tc>
          <w:tcPr>
            <w:tcW w:w="2387" w:type="dxa"/>
            <w:vAlign w:val="center"/>
          </w:tcPr>
          <w:p>
            <w:pPr>
              <w:jc w:val="center"/>
            </w:pPr>
          </w:p>
        </w:tc>
        <w:tc>
          <w:tcPr>
            <w:tcW w:w="2387" w:type="dxa"/>
            <w:vAlign w:val="center"/>
          </w:tcPr>
          <w:p>
            <w:pPr>
              <w:jc w:val="center"/>
            </w:pPr>
          </w:p>
        </w:tc>
        <w:tc>
          <w:tcPr>
            <w:tcW w:w="2233" w:type="dxa"/>
            <w:vAlign w:val="center"/>
          </w:tcPr>
          <w:p>
            <w:pPr>
              <w:jc w:val="center"/>
            </w:pPr>
          </w:p>
        </w:tc>
      </w:tr>
      <w:tr>
        <w:tblPrEx>
          <w:tblLayout w:type="fixed"/>
          <w:tblCellMar>
            <w:top w:w="0" w:type="dxa"/>
            <w:left w:w="108" w:type="dxa"/>
            <w:bottom w:w="0" w:type="dxa"/>
            <w:right w:w="108" w:type="dxa"/>
          </w:tblCellMar>
        </w:tblPrEx>
        <w:trPr>
          <w:trHeight w:val="471" w:hRule="atLeast"/>
        </w:trPr>
        <w:tc>
          <w:tcPr>
            <w:tcW w:w="679" w:type="dxa"/>
            <w:vAlign w:val="center"/>
          </w:tcPr>
          <w:p>
            <w:pPr>
              <w:jc w:val="center"/>
            </w:pPr>
            <w:r>
              <w:rPr>
                <w:rFonts w:hint="eastAsia"/>
              </w:rPr>
              <w:t>3</w:t>
            </w:r>
          </w:p>
        </w:tc>
        <w:tc>
          <w:tcPr>
            <w:tcW w:w="2386" w:type="dxa"/>
            <w:vAlign w:val="center"/>
          </w:tcPr>
          <w:p>
            <w:pPr>
              <w:jc w:val="center"/>
            </w:pPr>
          </w:p>
        </w:tc>
        <w:tc>
          <w:tcPr>
            <w:tcW w:w="2387" w:type="dxa"/>
            <w:vAlign w:val="center"/>
          </w:tcPr>
          <w:p>
            <w:pPr>
              <w:jc w:val="center"/>
            </w:pPr>
          </w:p>
        </w:tc>
        <w:tc>
          <w:tcPr>
            <w:tcW w:w="2387" w:type="dxa"/>
            <w:vAlign w:val="center"/>
          </w:tcPr>
          <w:p>
            <w:pPr>
              <w:jc w:val="center"/>
            </w:pPr>
          </w:p>
        </w:tc>
        <w:tc>
          <w:tcPr>
            <w:tcW w:w="223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679" w:type="dxa"/>
            <w:vAlign w:val="center"/>
          </w:tcPr>
          <w:p>
            <w:pPr>
              <w:jc w:val="center"/>
            </w:pPr>
            <w:r>
              <w:rPr>
                <w:rFonts w:hint="eastAsia"/>
              </w:rPr>
              <w:t>4</w:t>
            </w:r>
          </w:p>
        </w:tc>
        <w:tc>
          <w:tcPr>
            <w:tcW w:w="2386" w:type="dxa"/>
            <w:vAlign w:val="center"/>
          </w:tcPr>
          <w:p>
            <w:pPr>
              <w:jc w:val="center"/>
            </w:pPr>
          </w:p>
        </w:tc>
        <w:tc>
          <w:tcPr>
            <w:tcW w:w="2387" w:type="dxa"/>
            <w:vAlign w:val="center"/>
          </w:tcPr>
          <w:p>
            <w:pPr>
              <w:jc w:val="center"/>
            </w:pPr>
          </w:p>
        </w:tc>
        <w:tc>
          <w:tcPr>
            <w:tcW w:w="2387" w:type="dxa"/>
            <w:vAlign w:val="center"/>
          </w:tcPr>
          <w:p>
            <w:pPr>
              <w:jc w:val="center"/>
            </w:pPr>
          </w:p>
        </w:tc>
        <w:tc>
          <w:tcPr>
            <w:tcW w:w="223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679" w:type="dxa"/>
            <w:vAlign w:val="center"/>
          </w:tcPr>
          <w:p>
            <w:pPr>
              <w:jc w:val="center"/>
            </w:pPr>
            <w:r>
              <w:rPr>
                <w:rFonts w:hint="eastAsia"/>
              </w:rPr>
              <w:t>5</w:t>
            </w:r>
          </w:p>
        </w:tc>
        <w:tc>
          <w:tcPr>
            <w:tcW w:w="2386" w:type="dxa"/>
            <w:vAlign w:val="center"/>
          </w:tcPr>
          <w:p>
            <w:pPr>
              <w:jc w:val="center"/>
            </w:pPr>
          </w:p>
        </w:tc>
        <w:tc>
          <w:tcPr>
            <w:tcW w:w="2387" w:type="dxa"/>
            <w:vAlign w:val="center"/>
          </w:tcPr>
          <w:p>
            <w:pPr>
              <w:jc w:val="center"/>
            </w:pPr>
          </w:p>
        </w:tc>
        <w:tc>
          <w:tcPr>
            <w:tcW w:w="2387" w:type="dxa"/>
            <w:vAlign w:val="center"/>
          </w:tcPr>
          <w:p>
            <w:pPr>
              <w:jc w:val="center"/>
            </w:pPr>
          </w:p>
        </w:tc>
        <w:tc>
          <w:tcPr>
            <w:tcW w:w="223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679" w:type="dxa"/>
            <w:vAlign w:val="center"/>
          </w:tcPr>
          <w:p>
            <w:pPr>
              <w:jc w:val="center"/>
            </w:pPr>
            <w:r>
              <w:rPr>
                <w:rFonts w:hint="eastAsia"/>
              </w:rPr>
              <w:t>...</w:t>
            </w:r>
          </w:p>
        </w:tc>
        <w:tc>
          <w:tcPr>
            <w:tcW w:w="2386" w:type="dxa"/>
            <w:vAlign w:val="center"/>
          </w:tcPr>
          <w:p>
            <w:pPr>
              <w:jc w:val="center"/>
            </w:pPr>
          </w:p>
        </w:tc>
        <w:tc>
          <w:tcPr>
            <w:tcW w:w="2387" w:type="dxa"/>
            <w:vAlign w:val="center"/>
          </w:tcPr>
          <w:p>
            <w:pPr>
              <w:jc w:val="center"/>
            </w:pPr>
          </w:p>
        </w:tc>
        <w:tc>
          <w:tcPr>
            <w:tcW w:w="2387" w:type="dxa"/>
            <w:vAlign w:val="center"/>
          </w:tcPr>
          <w:p>
            <w:pPr>
              <w:jc w:val="center"/>
            </w:pPr>
          </w:p>
        </w:tc>
        <w:tc>
          <w:tcPr>
            <w:tcW w:w="2233" w:type="dxa"/>
            <w:vAlign w:val="center"/>
          </w:tcPr>
          <w:p>
            <w:pPr>
              <w:jc w:val="center"/>
            </w:pPr>
          </w:p>
        </w:tc>
      </w:tr>
    </w:tbl>
    <w:p>
      <w:pPr>
        <w:tabs>
          <w:tab w:val="left" w:pos="2685"/>
        </w:tabs>
        <w:spacing w:line="400" w:lineRule="exact"/>
        <w:rPr>
          <w:sz w:val="24"/>
        </w:rPr>
      </w:pPr>
      <w:r>
        <w:rPr>
          <w:rFonts w:hint="eastAsia"/>
          <w:sz w:val="24"/>
        </w:rPr>
        <w:t>注：商务和技术偏离表中如果有偏离请详细注明，无偏离请在</w:t>
      </w:r>
      <w:r>
        <w:rPr>
          <w:rFonts w:hint="eastAsia"/>
        </w:rPr>
        <w:t>招标文件条目号栏下方填写无。</w:t>
      </w:r>
    </w:p>
    <w:p>
      <w:pPr>
        <w:spacing w:line="400" w:lineRule="exact"/>
        <w:jc w:val="center"/>
        <w:rPr>
          <w:sz w:val="24"/>
        </w:rPr>
      </w:pPr>
    </w:p>
    <w:p>
      <w:pPr>
        <w:spacing w:line="400" w:lineRule="exact"/>
        <w:rPr>
          <w:sz w:val="24"/>
        </w:rPr>
      </w:pPr>
      <w:r>
        <w:rPr>
          <w:rFonts w:hint="eastAsia"/>
          <w:sz w:val="24"/>
        </w:rPr>
        <w:t xml:space="preserve">                                                   投标人（公章）：</w:t>
      </w:r>
    </w:p>
    <w:p>
      <w:pPr>
        <w:spacing w:line="400" w:lineRule="exact"/>
        <w:ind w:firstLine="3045"/>
        <w:rPr>
          <w:sz w:val="24"/>
        </w:rPr>
      </w:pPr>
      <w:r>
        <w:rPr>
          <w:rFonts w:hint="eastAsia"/>
          <w:sz w:val="24"/>
        </w:rPr>
        <w:t xml:space="preserve">                       授权代表（签字或盖章）：</w:t>
      </w:r>
    </w:p>
    <w:p>
      <w:pPr>
        <w:spacing w:line="400" w:lineRule="exact"/>
        <w:ind w:firstLine="6240" w:firstLineChars="2600"/>
        <w:rPr>
          <w:b/>
          <w:sz w:val="28"/>
        </w:rPr>
      </w:pPr>
      <w:r>
        <w:rPr>
          <w:rFonts w:hint="eastAsia"/>
          <w:sz w:val="24"/>
        </w:rPr>
        <w:t>日     期：</w:t>
      </w:r>
      <w:r>
        <w:rPr>
          <w:rFonts w:hint="eastAsia"/>
          <w:b/>
          <w:sz w:val="28"/>
        </w:rPr>
        <w:t xml:space="preserve">  </w:t>
      </w:r>
    </w:p>
    <w:p>
      <w:pPr>
        <w:spacing w:line="400" w:lineRule="exact"/>
        <w:ind w:firstLine="723" w:firstLineChars="300"/>
        <w:rPr>
          <w:b/>
          <w:sz w:val="24"/>
        </w:rPr>
      </w:pPr>
      <w:r>
        <w:rPr>
          <w:rFonts w:hint="eastAsia"/>
          <w:b/>
          <w:sz w:val="24"/>
        </w:rPr>
        <w:t>十、拟投入人员信息登记表</w:t>
      </w:r>
    </w:p>
    <w:tbl>
      <w:tblPr>
        <w:tblStyle w:val="4"/>
        <w:tblW w:w="9938" w:type="dxa"/>
        <w:jc w:val="center"/>
        <w:tblInd w:w="93" w:type="dxa"/>
        <w:tblLayout w:type="fixed"/>
        <w:tblCellMar>
          <w:top w:w="0" w:type="dxa"/>
          <w:left w:w="108" w:type="dxa"/>
          <w:bottom w:w="0" w:type="dxa"/>
          <w:right w:w="108" w:type="dxa"/>
        </w:tblCellMar>
      </w:tblPr>
      <w:tblGrid>
        <w:gridCol w:w="866"/>
        <w:gridCol w:w="992"/>
        <w:gridCol w:w="1276"/>
        <w:gridCol w:w="992"/>
        <w:gridCol w:w="2268"/>
        <w:gridCol w:w="1559"/>
        <w:gridCol w:w="1985"/>
      </w:tblGrid>
      <w:tr>
        <w:tblPrEx>
          <w:tblLayout w:type="fixed"/>
          <w:tblCellMar>
            <w:top w:w="0" w:type="dxa"/>
            <w:left w:w="108" w:type="dxa"/>
            <w:bottom w:w="0" w:type="dxa"/>
            <w:right w:w="108" w:type="dxa"/>
          </w:tblCellMar>
        </w:tblPrEx>
        <w:trPr>
          <w:trHeight w:val="270" w:hRule="atLeast"/>
          <w:jc w:val="center"/>
        </w:trPr>
        <w:tc>
          <w:tcPr>
            <w:tcW w:w="9938" w:type="dxa"/>
            <w:gridSpan w:val="7"/>
            <w:tcBorders>
              <w:top w:val="nil"/>
              <w:left w:val="nil"/>
              <w:bottom w:val="nil"/>
              <w:right w:val="nil"/>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拟投入人员信息登记表</w:t>
            </w:r>
          </w:p>
        </w:tc>
      </w:tr>
      <w:tr>
        <w:tblPrEx>
          <w:tblLayout w:type="fixed"/>
          <w:tblCellMar>
            <w:top w:w="0" w:type="dxa"/>
            <w:left w:w="108" w:type="dxa"/>
            <w:bottom w:w="0" w:type="dxa"/>
            <w:right w:w="108" w:type="dxa"/>
          </w:tblCellMar>
        </w:tblPrEx>
        <w:trPr>
          <w:trHeight w:val="270" w:hRule="atLeast"/>
          <w:jc w:val="center"/>
        </w:trPr>
        <w:tc>
          <w:tcPr>
            <w:tcW w:w="8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序号</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姓名</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身份证号</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学历</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社保缴纳情况</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从业经验</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备注</w:t>
            </w:r>
          </w:p>
        </w:tc>
      </w:tr>
      <w:tr>
        <w:tblPrEx>
          <w:tblLayout w:type="fixed"/>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jc w:val="center"/>
        </w:trPr>
        <w:tc>
          <w:tcPr>
            <w:tcW w:w="8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ascii="宋体" w:hAnsi="宋体" w:cs="宋体"/>
                <w:color w:val="000000"/>
                <w:kern w:val="0"/>
                <w:sz w:val="22"/>
                <w:szCs w:val="22"/>
              </w:rPr>
              <w:t>…</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p>
        </w:tc>
        <w:tc>
          <w:tcPr>
            <w:tcW w:w="19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p>
        </w:tc>
      </w:tr>
    </w:tbl>
    <w:p>
      <w:pPr>
        <w:spacing w:line="400" w:lineRule="exact"/>
        <w:ind w:firstLine="723" w:firstLineChars="300"/>
        <w:jc w:val="center"/>
        <w:rPr>
          <w:b/>
          <w:sz w:val="24"/>
        </w:rPr>
      </w:pPr>
    </w:p>
    <w:p>
      <w:pPr>
        <w:spacing w:line="400" w:lineRule="exact"/>
        <w:ind w:firstLine="723" w:firstLineChars="300"/>
        <w:rPr>
          <w:b/>
          <w:bCs/>
          <w:sz w:val="24"/>
        </w:rPr>
      </w:pPr>
      <w:r>
        <w:rPr>
          <w:rFonts w:hint="eastAsia"/>
          <w:b/>
          <w:sz w:val="24"/>
        </w:rPr>
        <w:t>十一、</w:t>
      </w:r>
      <w:r>
        <w:rPr>
          <w:rFonts w:hint="eastAsia" w:ascii="宋体" w:hAnsi="宋体"/>
          <w:b/>
          <w:bCs/>
          <w:sz w:val="24"/>
        </w:rPr>
        <w:t>投标人认为有必要提供的其它资料</w:t>
      </w:r>
      <w:r>
        <w:rPr>
          <w:rFonts w:hint="eastAsia"/>
          <w:b/>
          <w:bCs/>
          <w:sz w:val="24"/>
        </w:rPr>
        <w:t>服务承诺</w:t>
      </w:r>
    </w:p>
    <w:p>
      <w:pPr>
        <w:sectPr>
          <w:headerReference r:id="rId3" w:type="default"/>
          <w:footerReference r:id="rId4" w:type="default"/>
          <w:pgSz w:w="11906" w:h="16838"/>
          <w:pgMar w:top="720" w:right="720" w:bottom="720" w:left="720" w:header="851" w:footer="539" w:gutter="0"/>
          <w:cols w:space="0" w:num="1"/>
          <w:docGrid w:type="lines" w:linePitch="312" w:charSpace="0"/>
        </w:sectPr>
      </w:pPr>
    </w:p>
    <w:p>
      <w:pPr>
        <w:tabs>
          <w:tab w:val="left" w:pos="0"/>
        </w:tabs>
        <w:spacing w:line="400" w:lineRule="exact"/>
        <w:ind w:right="-1232" w:rightChars="-587"/>
        <w:rPr>
          <w:rFonts w:ascii="宋体" w:hAnsi="宋体"/>
          <w:b/>
          <w:sz w:val="28"/>
          <w:szCs w:val="28"/>
        </w:rPr>
      </w:pPr>
      <w:r>
        <w:rPr>
          <w:rFonts w:ascii="宋体" w:hAnsi="宋体"/>
          <w:b/>
          <w:sz w:val="28"/>
          <w:szCs w:val="28"/>
        </w:rPr>
        <w:t>附件</w:t>
      </w:r>
      <w:r>
        <w:rPr>
          <w:rFonts w:hint="eastAsia" w:ascii="宋体" w:hAnsi="宋体"/>
          <w:b/>
          <w:sz w:val="28"/>
          <w:szCs w:val="28"/>
        </w:rPr>
        <w:t>1.</w:t>
      </w:r>
    </w:p>
    <w:p>
      <w:pPr>
        <w:tabs>
          <w:tab w:val="left" w:pos="0"/>
        </w:tabs>
        <w:spacing w:line="400" w:lineRule="exact"/>
        <w:ind w:right="-1232" w:rightChars="-587"/>
        <w:rPr>
          <w:rFonts w:ascii="宋体" w:hAnsi="宋体"/>
          <w:b/>
          <w:sz w:val="28"/>
          <w:szCs w:val="28"/>
        </w:rPr>
      </w:pPr>
    </w:p>
    <w:p>
      <w:pPr>
        <w:spacing w:line="480" w:lineRule="auto"/>
        <w:jc w:val="center"/>
        <w:rPr>
          <w:rFonts w:eastAsia="仿宋_GB2312"/>
          <w:sz w:val="28"/>
          <w:szCs w:val="28"/>
        </w:rPr>
      </w:pPr>
      <w:r>
        <w:rPr>
          <w:rFonts w:hint="eastAsia" w:eastAsia="仿宋_GB2312"/>
          <w:sz w:val="28"/>
          <w:szCs w:val="28"/>
        </w:rPr>
        <w:t>江苏师范大学泉山校区</w:t>
      </w:r>
      <w:r>
        <w:rPr>
          <w:rFonts w:hint="eastAsia" w:eastAsia="仿宋_GB2312"/>
          <w:sz w:val="28"/>
          <w:szCs w:val="28"/>
          <w:lang w:val="en-US" w:eastAsia="zh-CN"/>
        </w:rPr>
        <w:t>学生</w:t>
      </w:r>
      <w:r>
        <w:rPr>
          <w:rFonts w:hint="eastAsia" w:eastAsia="仿宋_GB2312"/>
          <w:sz w:val="28"/>
          <w:szCs w:val="28"/>
        </w:rPr>
        <w:t>一食堂承包经营服务招标评分细则</w:t>
      </w:r>
    </w:p>
    <w:tbl>
      <w:tblPr>
        <w:tblStyle w:val="4"/>
        <w:tblW w:w="144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1620"/>
        <w:gridCol w:w="4815"/>
        <w:gridCol w:w="855"/>
        <w:gridCol w:w="5378"/>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722" w:type="dxa"/>
            <w:gridSpan w:val="2"/>
            <w:vAlign w:val="center"/>
          </w:tcPr>
          <w:p>
            <w:pPr>
              <w:snapToGrid w:val="0"/>
              <w:jc w:val="center"/>
              <w:rPr>
                <w:rFonts w:ascii="宋体" w:hAnsi="宋体" w:cs="宋体"/>
                <w:b/>
                <w:kern w:val="0"/>
                <w:sz w:val="20"/>
                <w:szCs w:val="20"/>
                <w:lang w:bidi="ar"/>
              </w:rPr>
            </w:pPr>
            <w:r>
              <w:rPr>
                <w:rFonts w:hint="eastAsia" w:ascii="宋体" w:hAnsi="宋体" w:cs="宋体"/>
                <w:b/>
                <w:kern w:val="0"/>
                <w:sz w:val="20"/>
                <w:szCs w:val="20"/>
                <w:lang w:bidi="ar"/>
              </w:rPr>
              <w:t>评分项</w:t>
            </w:r>
          </w:p>
        </w:tc>
        <w:tc>
          <w:tcPr>
            <w:tcW w:w="4815" w:type="dxa"/>
            <w:vAlign w:val="center"/>
          </w:tcPr>
          <w:p>
            <w:pPr>
              <w:snapToGrid w:val="0"/>
              <w:jc w:val="center"/>
              <w:rPr>
                <w:rFonts w:ascii="宋体" w:hAnsi="宋体" w:cs="宋体"/>
                <w:b/>
                <w:kern w:val="0"/>
                <w:sz w:val="20"/>
                <w:szCs w:val="20"/>
                <w:lang w:bidi="ar"/>
              </w:rPr>
            </w:pPr>
            <w:r>
              <w:rPr>
                <w:rFonts w:hint="eastAsia" w:ascii="宋体" w:hAnsi="宋体" w:cs="宋体"/>
                <w:b/>
                <w:kern w:val="0"/>
                <w:sz w:val="20"/>
                <w:szCs w:val="20"/>
                <w:lang w:bidi="ar"/>
              </w:rPr>
              <w:t>评价指标</w:t>
            </w:r>
          </w:p>
        </w:tc>
        <w:tc>
          <w:tcPr>
            <w:tcW w:w="855" w:type="dxa"/>
            <w:vAlign w:val="center"/>
          </w:tcPr>
          <w:p>
            <w:pPr>
              <w:snapToGrid w:val="0"/>
              <w:jc w:val="center"/>
              <w:rPr>
                <w:rFonts w:ascii="宋体" w:hAnsi="宋体" w:cs="宋体"/>
                <w:b/>
                <w:kern w:val="0"/>
                <w:sz w:val="20"/>
                <w:szCs w:val="20"/>
                <w:lang w:bidi="ar"/>
              </w:rPr>
            </w:pPr>
            <w:r>
              <w:rPr>
                <w:rFonts w:hint="eastAsia" w:ascii="宋体" w:hAnsi="宋体" w:cs="宋体"/>
                <w:b/>
                <w:kern w:val="0"/>
                <w:sz w:val="20"/>
                <w:szCs w:val="20"/>
                <w:lang w:bidi="ar"/>
              </w:rPr>
              <w:t>分值</w:t>
            </w:r>
          </w:p>
        </w:tc>
        <w:tc>
          <w:tcPr>
            <w:tcW w:w="5378" w:type="dxa"/>
            <w:vAlign w:val="center"/>
          </w:tcPr>
          <w:p>
            <w:pPr>
              <w:snapToGrid w:val="0"/>
              <w:jc w:val="center"/>
              <w:rPr>
                <w:rFonts w:ascii="宋体" w:hAnsi="宋体" w:cs="宋体"/>
                <w:b/>
                <w:kern w:val="0"/>
                <w:sz w:val="20"/>
                <w:szCs w:val="20"/>
                <w:lang w:bidi="ar"/>
              </w:rPr>
            </w:pPr>
            <w:r>
              <w:rPr>
                <w:rFonts w:hint="eastAsia" w:ascii="宋体" w:hAnsi="宋体" w:cs="宋体"/>
                <w:b/>
                <w:kern w:val="0"/>
                <w:sz w:val="20"/>
                <w:szCs w:val="20"/>
                <w:lang w:bidi="ar"/>
              </w:rPr>
              <w:t>评分标准</w:t>
            </w:r>
          </w:p>
        </w:tc>
        <w:tc>
          <w:tcPr>
            <w:tcW w:w="696" w:type="dxa"/>
            <w:vAlign w:val="center"/>
          </w:tcPr>
          <w:p>
            <w:pPr>
              <w:snapToGrid w:val="0"/>
              <w:jc w:val="center"/>
              <w:rPr>
                <w:rFonts w:ascii="宋体" w:hAnsi="宋体" w:cs="宋体"/>
                <w:b/>
                <w:kern w:val="0"/>
                <w:sz w:val="20"/>
                <w:szCs w:val="20"/>
                <w:lang w:bidi="ar"/>
              </w:rPr>
            </w:pPr>
            <w:r>
              <w:rPr>
                <w:rFonts w:hint="eastAsia" w:ascii="宋体" w:hAnsi="宋体" w:cs="宋体"/>
                <w:b/>
                <w:kern w:val="0"/>
                <w:sz w:val="20"/>
                <w:szCs w:val="20"/>
                <w:lang w:bidi="ar"/>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02" w:type="dxa"/>
            <w:vMerge w:val="restart"/>
            <w:vAlign w:val="center"/>
          </w:tcPr>
          <w:p>
            <w:pPr>
              <w:snapToGrid w:val="0"/>
              <w:jc w:val="left"/>
              <w:rPr>
                <w:szCs w:val="21"/>
              </w:rPr>
            </w:pPr>
            <w:r>
              <w:rPr>
                <w:rFonts w:hint="eastAsia" w:hAnsi="宋体"/>
                <w:szCs w:val="21"/>
              </w:rPr>
              <w:t>企业资质及业绩与信誉（20分）</w:t>
            </w:r>
          </w:p>
          <w:p>
            <w:pPr>
              <w:snapToGrid w:val="0"/>
              <w:jc w:val="left"/>
              <w:rPr>
                <w:szCs w:val="21"/>
              </w:rPr>
            </w:pPr>
          </w:p>
        </w:tc>
        <w:tc>
          <w:tcPr>
            <w:tcW w:w="1620" w:type="dxa"/>
            <w:vMerge w:val="restart"/>
            <w:vAlign w:val="center"/>
          </w:tcPr>
          <w:p>
            <w:pPr>
              <w:snapToGrid w:val="0"/>
              <w:rPr>
                <w:rFonts w:hAnsi="宋体"/>
                <w:sz w:val="18"/>
                <w:szCs w:val="18"/>
              </w:rPr>
            </w:pPr>
            <w:r>
              <w:rPr>
                <w:rFonts w:hint="eastAsia" w:hAnsi="宋体"/>
                <w:sz w:val="18"/>
                <w:szCs w:val="18"/>
              </w:rPr>
              <w:t>企业资质5分</w:t>
            </w:r>
          </w:p>
        </w:tc>
        <w:tc>
          <w:tcPr>
            <w:tcW w:w="4815" w:type="dxa"/>
            <w:vAlign w:val="center"/>
          </w:tcPr>
          <w:p>
            <w:pPr>
              <w:widowControl/>
              <w:snapToGrid w:val="0"/>
              <w:rPr>
                <w:rFonts w:cs="宋体"/>
                <w:kern w:val="0"/>
                <w:sz w:val="18"/>
                <w:szCs w:val="18"/>
              </w:rPr>
            </w:pPr>
            <w:r>
              <w:rPr>
                <w:rFonts w:hint="eastAsia" w:cs="宋体"/>
                <w:kern w:val="0"/>
                <w:sz w:val="18"/>
                <w:szCs w:val="18"/>
              </w:rPr>
              <w:t>具有 GB/T 19001认证</w:t>
            </w:r>
          </w:p>
        </w:tc>
        <w:tc>
          <w:tcPr>
            <w:tcW w:w="855" w:type="dxa"/>
            <w:vAlign w:val="center"/>
          </w:tcPr>
          <w:p>
            <w:pPr>
              <w:snapToGrid w:val="0"/>
              <w:jc w:val="center"/>
              <w:rPr>
                <w:sz w:val="18"/>
                <w:szCs w:val="18"/>
              </w:rPr>
            </w:pPr>
            <w:r>
              <w:rPr>
                <w:rFonts w:hint="eastAsia"/>
                <w:sz w:val="18"/>
                <w:szCs w:val="18"/>
              </w:rPr>
              <w:t>1分</w:t>
            </w:r>
          </w:p>
        </w:tc>
        <w:tc>
          <w:tcPr>
            <w:tcW w:w="5378" w:type="dxa"/>
            <w:vAlign w:val="center"/>
          </w:tcPr>
          <w:p>
            <w:pPr>
              <w:snapToGrid w:val="0"/>
              <w:rPr>
                <w:sz w:val="18"/>
                <w:szCs w:val="18"/>
              </w:rPr>
            </w:pPr>
            <w:r>
              <w:rPr>
                <w:rFonts w:hint="eastAsia"/>
                <w:sz w:val="18"/>
                <w:szCs w:val="18"/>
              </w:rPr>
              <w:t>有得1分，没有得0分</w:t>
            </w:r>
          </w:p>
        </w:tc>
        <w:tc>
          <w:tcPr>
            <w:tcW w:w="696" w:type="dxa"/>
            <w:vAlign w:val="center"/>
          </w:tcPr>
          <w:p>
            <w:pPr>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02" w:type="dxa"/>
            <w:vMerge w:val="continue"/>
            <w:vAlign w:val="center"/>
          </w:tcPr>
          <w:p>
            <w:pPr>
              <w:snapToGrid w:val="0"/>
              <w:jc w:val="left"/>
              <w:rPr>
                <w:szCs w:val="21"/>
              </w:rPr>
            </w:pPr>
          </w:p>
        </w:tc>
        <w:tc>
          <w:tcPr>
            <w:tcW w:w="1620" w:type="dxa"/>
            <w:vMerge w:val="continue"/>
            <w:vAlign w:val="center"/>
          </w:tcPr>
          <w:p>
            <w:pPr>
              <w:snapToGrid w:val="0"/>
              <w:rPr>
                <w:rFonts w:hAnsi="宋体"/>
                <w:sz w:val="18"/>
                <w:szCs w:val="18"/>
              </w:rPr>
            </w:pPr>
          </w:p>
        </w:tc>
        <w:tc>
          <w:tcPr>
            <w:tcW w:w="4815" w:type="dxa"/>
            <w:vAlign w:val="center"/>
          </w:tcPr>
          <w:p>
            <w:pPr>
              <w:widowControl/>
              <w:snapToGrid w:val="0"/>
              <w:rPr>
                <w:rFonts w:cs="宋体"/>
                <w:kern w:val="0"/>
                <w:sz w:val="18"/>
                <w:szCs w:val="18"/>
              </w:rPr>
            </w:pPr>
            <w:r>
              <w:rPr>
                <w:rFonts w:hint="eastAsia" w:hAnsi="宋体"/>
                <w:sz w:val="18"/>
                <w:szCs w:val="18"/>
              </w:rPr>
              <w:t>具有</w:t>
            </w:r>
            <w:r>
              <w:rPr>
                <w:rFonts w:hint="eastAsia" w:cs="宋体"/>
                <w:kern w:val="0"/>
                <w:sz w:val="18"/>
                <w:szCs w:val="18"/>
              </w:rPr>
              <w:t>GB/T 22000认证</w:t>
            </w:r>
          </w:p>
        </w:tc>
        <w:tc>
          <w:tcPr>
            <w:tcW w:w="855" w:type="dxa"/>
            <w:vAlign w:val="center"/>
          </w:tcPr>
          <w:p>
            <w:pPr>
              <w:snapToGrid w:val="0"/>
              <w:jc w:val="center"/>
              <w:rPr>
                <w:sz w:val="18"/>
                <w:szCs w:val="18"/>
              </w:rPr>
            </w:pPr>
            <w:r>
              <w:rPr>
                <w:rFonts w:hint="eastAsia"/>
                <w:sz w:val="18"/>
                <w:szCs w:val="18"/>
              </w:rPr>
              <w:t>1分</w:t>
            </w:r>
          </w:p>
        </w:tc>
        <w:tc>
          <w:tcPr>
            <w:tcW w:w="5378" w:type="dxa"/>
            <w:vAlign w:val="center"/>
          </w:tcPr>
          <w:p>
            <w:pPr>
              <w:snapToGrid w:val="0"/>
              <w:rPr>
                <w:sz w:val="18"/>
                <w:szCs w:val="18"/>
              </w:rPr>
            </w:pPr>
            <w:r>
              <w:rPr>
                <w:rFonts w:hint="eastAsia"/>
                <w:sz w:val="18"/>
                <w:szCs w:val="18"/>
              </w:rPr>
              <w:t>有得1分，没有得0分</w:t>
            </w:r>
          </w:p>
        </w:tc>
        <w:tc>
          <w:tcPr>
            <w:tcW w:w="696" w:type="dxa"/>
            <w:vAlign w:val="center"/>
          </w:tcPr>
          <w:p>
            <w:pPr>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1102" w:type="dxa"/>
            <w:vMerge w:val="continue"/>
            <w:vAlign w:val="center"/>
          </w:tcPr>
          <w:p>
            <w:pPr>
              <w:snapToGrid w:val="0"/>
              <w:jc w:val="left"/>
              <w:rPr>
                <w:szCs w:val="21"/>
              </w:rPr>
            </w:pPr>
          </w:p>
        </w:tc>
        <w:tc>
          <w:tcPr>
            <w:tcW w:w="1620" w:type="dxa"/>
            <w:vMerge w:val="continue"/>
            <w:vAlign w:val="center"/>
          </w:tcPr>
          <w:p>
            <w:pPr>
              <w:snapToGrid w:val="0"/>
              <w:rPr>
                <w:rFonts w:hAnsi="宋体"/>
                <w:sz w:val="18"/>
                <w:szCs w:val="18"/>
              </w:rPr>
            </w:pPr>
          </w:p>
        </w:tc>
        <w:tc>
          <w:tcPr>
            <w:tcW w:w="4815" w:type="dxa"/>
            <w:vAlign w:val="center"/>
          </w:tcPr>
          <w:p>
            <w:pPr>
              <w:widowControl/>
              <w:snapToGrid w:val="0"/>
              <w:rPr>
                <w:sz w:val="18"/>
                <w:szCs w:val="18"/>
              </w:rPr>
            </w:pPr>
            <w:r>
              <w:rPr>
                <w:rFonts w:hint="eastAsia" w:hAnsi="宋体"/>
                <w:sz w:val="18"/>
                <w:szCs w:val="18"/>
              </w:rPr>
              <w:t>具有</w:t>
            </w:r>
            <w:r>
              <w:rPr>
                <w:rFonts w:hint="eastAsia" w:cs="宋体"/>
                <w:kern w:val="0"/>
                <w:sz w:val="18"/>
                <w:szCs w:val="18"/>
              </w:rPr>
              <w:t xml:space="preserve">GB/T </w:t>
            </w:r>
            <w:r>
              <w:rPr>
                <w:rFonts w:hint="eastAsia"/>
                <w:sz w:val="18"/>
                <w:szCs w:val="18"/>
              </w:rPr>
              <w:t>24001</w:t>
            </w:r>
            <w:r>
              <w:rPr>
                <w:rFonts w:hint="eastAsia" w:cs="宋体"/>
                <w:kern w:val="0"/>
                <w:sz w:val="18"/>
                <w:szCs w:val="18"/>
              </w:rPr>
              <w:t>认证</w:t>
            </w:r>
          </w:p>
        </w:tc>
        <w:tc>
          <w:tcPr>
            <w:tcW w:w="855" w:type="dxa"/>
            <w:vAlign w:val="center"/>
          </w:tcPr>
          <w:p>
            <w:pPr>
              <w:snapToGrid w:val="0"/>
              <w:jc w:val="center"/>
              <w:rPr>
                <w:sz w:val="18"/>
                <w:szCs w:val="18"/>
              </w:rPr>
            </w:pPr>
            <w:r>
              <w:rPr>
                <w:rFonts w:hint="eastAsia"/>
                <w:sz w:val="18"/>
                <w:szCs w:val="18"/>
              </w:rPr>
              <w:t>1</w:t>
            </w:r>
            <w:r>
              <w:rPr>
                <w:rFonts w:hint="eastAsia" w:hAnsi="宋体"/>
                <w:sz w:val="18"/>
                <w:szCs w:val="18"/>
              </w:rPr>
              <w:t>分</w:t>
            </w:r>
          </w:p>
        </w:tc>
        <w:tc>
          <w:tcPr>
            <w:tcW w:w="5378" w:type="dxa"/>
            <w:vAlign w:val="center"/>
          </w:tcPr>
          <w:p>
            <w:pPr>
              <w:snapToGrid w:val="0"/>
              <w:rPr>
                <w:sz w:val="18"/>
                <w:szCs w:val="18"/>
              </w:rPr>
            </w:pPr>
            <w:r>
              <w:rPr>
                <w:rFonts w:hint="eastAsia" w:hAnsi="宋体"/>
                <w:sz w:val="18"/>
                <w:szCs w:val="18"/>
              </w:rPr>
              <w:t>有得</w:t>
            </w:r>
            <w:r>
              <w:rPr>
                <w:rFonts w:hint="eastAsia"/>
                <w:sz w:val="18"/>
                <w:szCs w:val="18"/>
              </w:rPr>
              <w:t>1</w:t>
            </w:r>
            <w:r>
              <w:rPr>
                <w:rFonts w:hint="eastAsia" w:hAnsi="宋体"/>
                <w:sz w:val="18"/>
                <w:szCs w:val="18"/>
              </w:rPr>
              <w:t>分，没有得</w:t>
            </w:r>
            <w:r>
              <w:rPr>
                <w:rFonts w:hint="eastAsia"/>
                <w:sz w:val="18"/>
                <w:szCs w:val="18"/>
              </w:rPr>
              <w:t>0</w:t>
            </w:r>
            <w:r>
              <w:rPr>
                <w:rFonts w:hint="eastAsia" w:hAnsi="宋体"/>
                <w:sz w:val="18"/>
                <w:szCs w:val="18"/>
              </w:rPr>
              <w:t>分</w:t>
            </w:r>
          </w:p>
        </w:tc>
        <w:tc>
          <w:tcPr>
            <w:tcW w:w="696" w:type="dxa"/>
            <w:vAlign w:val="center"/>
          </w:tcPr>
          <w:p>
            <w:pPr>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1102" w:type="dxa"/>
            <w:vMerge w:val="continue"/>
            <w:vAlign w:val="center"/>
          </w:tcPr>
          <w:p>
            <w:pPr>
              <w:snapToGrid w:val="0"/>
              <w:jc w:val="left"/>
              <w:rPr>
                <w:szCs w:val="21"/>
              </w:rPr>
            </w:pPr>
          </w:p>
        </w:tc>
        <w:tc>
          <w:tcPr>
            <w:tcW w:w="1620" w:type="dxa"/>
            <w:vMerge w:val="continue"/>
            <w:vAlign w:val="center"/>
          </w:tcPr>
          <w:p>
            <w:pPr>
              <w:snapToGrid w:val="0"/>
              <w:rPr>
                <w:rFonts w:hAnsi="宋体"/>
                <w:sz w:val="18"/>
                <w:szCs w:val="18"/>
              </w:rPr>
            </w:pPr>
          </w:p>
        </w:tc>
        <w:tc>
          <w:tcPr>
            <w:tcW w:w="4815" w:type="dxa"/>
            <w:vAlign w:val="center"/>
          </w:tcPr>
          <w:p>
            <w:pPr>
              <w:widowControl/>
              <w:snapToGrid w:val="0"/>
              <w:rPr>
                <w:rFonts w:hAnsi="宋体"/>
                <w:sz w:val="18"/>
                <w:szCs w:val="18"/>
              </w:rPr>
            </w:pPr>
            <w:r>
              <w:rPr>
                <w:rFonts w:hint="eastAsia" w:hAnsi="宋体"/>
                <w:sz w:val="18"/>
                <w:szCs w:val="18"/>
              </w:rPr>
              <w:t>具有</w:t>
            </w:r>
            <w:r>
              <w:rPr>
                <w:rFonts w:hint="eastAsia" w:cs="宋体"/>
                <w:kern w:val="0"/>
                <w:sz w:val="18"/>
                <w:szCs w:val="18"/>
              </w:rPr>
              <w:t>GB/T 28001认证</w:t>
            </w:r>
          </w:p>
        </w:tc>
        <w:tc>
          <w:tcPr>
            <w:tcW w:w="855" w:type="dxa"/>
            <w:vAlign w:val="center"/>
          </w:tcPr>
          <w:p>
            <w:pPr>
              <w:snapToGrid w:val="0"/>
              <w:jc w:val="center"/>
              <w:rPr>
                <w:sz w:val="18"/>
                <w:szCs w:val="18"/>
              </w:rPr>
            </w:pPr>
            <w:r>
              <w:rPr>
                <w:rFonts w:hint="eastAsia"/>
                <w:sz w:val="18"/>
                <w:szCs w:val="18"/>
              </w:rPr>
              <w:t>1分</w:t>
            </w:r>
          </w:p>
        </w:tc>
        <w:tc>
          <w:tcPr>
            <w:tcW w:w="5378" w:type="dxa"/>
            <w:vAlign w:val="center"/>
          </w:tcPr>
          <w:p>
            <w:pPr>
              <w:snapToGrid w:val="0"/>
              <w:rPr>
                <w:rFonts w:hAnsi="宋体"/>
                <w:sz w:val="18"/>
                <w:szCs w:val="18"/>
              </w:rPr>
            </w:pPr>
            <w:r>
              <w:rPr>
                <w:rFonts w:hint="eastAsia"/>
                <w:sz w:val="18"/>
                <w:szCs w:val="18"/>
              </w:rPr>
              <w:t>有得1分，没有得0分</w:t>
            </w:r>
          </w:p>
        </w:tc>
        <w:tc>
          <w:tcPr>
            <w:tcW w:w="696" w:type="dxa"/>
            <w:vAlign w:val="center"/>
          </w:tcPr>
          <w:p>
            <w:pPr>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02" w:type="dxa"/>
            <w:vMerge w:val="continue"/>
            <w:vAlign w:val="center"/>
          </w:tcPr>
          <w:p>
            <w:pPr>
              <w:snapToGrid w:val="0"/>
              <w:jc w:val="left"/>
              <w:rPr>
                <w:szCs w:val="21"/>
              </w:rPr>
            </w:pPr>
          </w:p>
        </w:tc>
        <w:tc>
          <w:tcPr>
            <w:tcW w:w="1620" w:type="dxa"/>
            <w:vMerge w:val="continue"/>
            <w:vAlign w:val="center"/>
          </w:tcPr>
          <w:p>
            <w:pPr>
              <w:snapToGrid w:val="0"/>
              <w:rPr>
                <w:rFonts w:hAnsi="宋体"/>
                <w:sz w:val="18"/>
                <w:szCs w:val="18"/>
              </w:rPr>
            </w:pPr>
          </w:p>
        </w:tc>
        <w:tc>
          <w:tcPr>
            <w:tcW w:w="4815" w:type="dxa"/>
            <w:vAlign w:val="center"/>
          </w:tcPr>
          <w:p>
            <w:pPr>
              <w:widowControl/>
              <w:snapToGrid w:val="0"/>
              <w:rPr>
                <w:rFonts w:cs="宋体"/>
                <w:kern w:val="0"/>
                <w:sz w:val="18"/>
                <w:szCs w:val="18"/>
              </w:rPr>
            </w:pPr>
            <w:r>
              <w:rPr>
                <w:rFonts w:hint="eastAsia" w:hAnsi="宋体"/>
                <w:sz w:val="18"/>
                <w:szCs w:val="18"/>
              </w:rPr>
              <w:t>纳税证明和社保缴纳证明</w:t>
            </w:r>
          </w:p>
        </w:tc>
        <w:tc>
          <w:tcPr>
            <w:tcW w:w="855" w:type="dxa"/>
            <w:vAlign w:val="center"/>
          </w:tcPr>
          <w:p>
            <w:pPr>
              <w:snapToGrid w:val="0"/>
              <w:jc w:val="center"/>
              <w:rPr>
                <w:sz w:val="18"/>
                <w:szCs w:val="18"/>
              </w:rPr>
            </w:pPr>
            <w:r>
              <w:rPr>
                <w:rFonts w:hint="eastAsia"/>
                <w:sz w:val="18"/>
                <w:szCs w:val="18"/>
              </w:rPr>
              <w:t>1</w:t>
            </w:r>
            <w:r>
              <w:rPr>
                <w:rFonts w:hint="eastAsia" w:hAnsi="宋体"/>
                <w:sz w:val="18"/>
                <w:szCs w:val="18"/>
              </w:rPr>
              <w:t>分</w:t>
            </w:r>
          </w:p>
        </w:tc>
        <w:tc>
          <w:tcPr>
            <w:tcW w:w="5378" w:type="dxa"/>
            <w:vAlign w:val="center"/>
          </w:tcPr>
          <w:p>
            <w:pPr>
              <w:snapToGrid w:val="0"/>
              <w:rPr>
                <w:sz w:val="18"/>
                <w:szCs w:val="18"/>
              </w:rPr>
            </w:pPr>
            <w:r>
              <w:rPr>
                <w:rFonts w:hint="eastAsia" w:hAnsi="宋体"/>
                <w:sz w:val="18"/>
                <w:szCs w:val="18"/>
              </w:rPr>
              <w:t>有得</w:t>
            </w:r>
            <w:r>
              <w:rPr>
                <w:rFonts w:hint="eastAsia"/>
                <w:sz w:val="18"/>
                <w:szCs w:val="18"/>
              </w:rPr>
              <w:t>1</w:t>
            </w:r>
            <w:r>
              <w:rPr>
                <w:rFonts w:hint="eastAsia" w:hAnsi="宋体"/>
                <w:sz w:val="18"/>
                <w:szCs w:val="18"/>
              </w:rPr>
              <w:t>分，没有得</w:t>
            </w:r>
            <w:r>
              <w:rPr>
                <w:rFonts w:hint="eastAsia"/>
                <w:sz w:val="18"/>
                <w:szCs w:val="18"/>
              </w:rPr>
              <w:t>0</w:t>
            </w:r>
            <w:r>
              <w:rPr>
                <w:rFonts w:hint="eastAsia" w:hAnsi="宋体"/>
                <w:sz w:val="18"/>
                <w:szCs w:val="18"/>
              </w:rPr>
              <w:t>分</w:t>
            </w:r>
          </w:p>
        </w:tc>
        <w:tc>
          <w:tcPr>
            <w:tcW w:w="696" w:type="dxa"/>
            <w:vAlign w:val="center"/>
          </w:tcPr>
          <w:p>
            <w:pPr>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02" w:type="dxa"/>
            <w:vMerge w:val="continue"/>
            <w:vAlign w:val="center"/>
          </w:tcPr>
          <w:p>
            <w:pPr>
              <w:snapToGrid w:val="0"/>
              <w:jc w:val="left"/>
              <w:rPr>
                <w:szCs w:val="21"/>
              </w:rPr>
            </w:pPr>
          </w:p>
        </w:tc>
        <w:tc>
          <w:tcPr>
            <w:tcW w:w="1620" w:type="dxa"/>
            <w:vAlign w:val="center"/>
          </w:tcPr>
          <w:p>
            <w:pPr>
              <w:snapToGrid w:val="0"/>
              <w:rPr>
                <w:rFonts w:hAnsi="宋体"/>
                <w:sz w:val="18"/>
                <w:szCs w:val="18"/>
              </w:rPr>
            </w:pPr>
            <w:r>
              <w:rPr>
                <w:rFonts w:hint="eastAsia" w:hAnsi="宋体"/>
                <w:sz w:val="18"/>
                <w:szCs w:val="18"/>
              </w:rPr>
              <w:t>企业经营年限状况5分</w:t>
            </w:r>
          </w:p>
        </w:tc>
        <w:tc>
          <w:tcPr>
            <w:tcW w:w="4815" w:type="dxa"/>
            <w:vAlign w:val="center"/>
          </w:tcPr>
          <w:p>
            <w:pPr>
              <w:snapToGrid w:val="0"/>
              <w:rPr>
                <w:sz w:val="18"/>
                <w:szCs w:val="18"/>
              </w:rPr>
            </w:pPr>
            <w:r>
              <w:rPr>
                <w:rFonts w:hint="eastAsia" w:hAnsi="宋体"/>
                <w:sz w:val="18"/>
                <w:szCs w:val="18"/>
              </w:rPr>
              <w:t>具有三年以上高等学校餐饮服务经历，或五年以上社会团体餐饮服务经历，经营的团体餐饮单位被所在地区的食品药品监督管理部门评定为食品安全量化分级管理 B 级（含）以上或 B 二星级（含）以上。</w:t>
            </w:r>
          </w:p>
        </w:tc>
        <w:tc>
          <w:tcPr>
            <w:tcW w:w="855" w:type="dxa"/>
            <w:vAlign w:val="center"/>
          </w:tcPr>
          <w:p>
            <w:pPr>
              <w:snapToGrid w:val="0"/>
              <w:jc w:val="center"/>
              <w:rPr>
                <w:sz w:val="18"/>
                <w:szCs w:val="18"/>
              </w:rPr>
            </w:pPr>
            <w:r>
              <w:rPr>
                <w:rFonts w:hint="eastAsia"/>
                <w:sz w:val="18"/>
                <w:szCs w:val="18"/>
              </w:rPr>
              <w:t>5</w:t>
            </w:r>
            <w:r>
              <w:rPr>
                <w:rFonts w:hint="eastAsia" w:hAnsi="宋体"/>
                <w:sz w:val="18"/>
                <w:szCs w:val="18"/>
              </w:rPr>
              <w:t>分</w:t>
            </w:r>
          </w:p>
        </w:tc>
        <w:tc>
          <w:tcPr>
            <w:tcW w:w="5378" w:type="dxa"/>
            <w:vAlign w:val="center"/>
          </w:tcPr>
          <w:p>
            <w:pPr>
              <w:snapToGrid w:val="0"/>
              <w:rPr>
                <w:sz w:val="18"/>
                <w:szCs w:val="18"/>
              </w:rPr>
            </w:pPr>
            <w:r>
              <w:rPr>
                <w:rFonts w:hint="eastAsia" w:hAnsi="宋体"/>
                <w:sz w:val="18"/>
                <w:szCs w:val="18"/>
              </w:rPr>
              <w:t>连续经营高校学生食堂</w:t>
            </w:r>
            <w:r>
              <w:rPr>
                <w:rFonts w:hint="eastAsia"/>
                <w:sz w:val="18"/>
                <w:szCs w:val="18"/>
              </w:rPr>
              <w:t>三</w:t>
            </w:r>
            <w:r>
              <w:rPr>
                <w:rFonts w:hint="eastAsia" w:hAnsi="宋体"/>
                <w:sz w:val="18"/>
                <w:szCs w:val="18"/>
              </w:rPr>
              <w:t>年（或社会团体餐饮服务五年）得</w:t>
            </w:r>
            <w:r>
              <w:rPr>
                <w:rFonts w:hint="eastAsia"/>
                <w:sz w:val="18"/>
                <w:szCs w:val="18"/>
              </w:rPr>
              <w:t>3</w:t>
            </w:r>
            <w:r>
              <w:rPr>
                <w:rFonts w:hint="eastAsia" w:hAnsi="宋体"/>
                <w:sz w:val="18"/>
                <w:szCs w:val="18"/>
              </w:rPr>
              <w:t>分。每增加1年加</w:t>
            </w:r>
            <w:r>
              <w:rPr>
                <w:rFonts w:hint="eastAsia"/>
                <w:sz w:val="18"/>
                <w:szCs w:val="18"/>
              </w:rPr>
              <w:t>1</w:t>
            </w:r>
            <w:r>
              <w:rPr>
                <w:rFonts w:hint="eastAsia" w:hAnsi="宋体"/>
                <w:sz w:val="18"/>
                <w:szCs w:val="18"/>
              </w:rPr>
              <w:t>分，最高得</w:t>
            </w:r>
            <w:r>
              <w:rPr>
                <w:rFonts w:hint="eastAsia"/>
                <w:sz w:val="18"/>
                <w:szCs w:val="18"/>
              </w:rPr>
              <w:t>5</w:t>
            </w:r>
            <w:r>
              <w:rPr>
                <w:rFonts w:hint="eastAsia" w:hAnsi="宋体"/>
                <w:sz w:val="18"/>
                <w:szCs w:val="18"/>
              </w:rPr>
              <w:t>分。</w:t>
            </w:r>
          </w:p>
        </w:tc>
        <w:tc>
          <w:tcPr>
            <w:tcW w:w="696" w:type="dxa"/>
            <w:vAlign w:val="center"/>
          </w:tcPr>
          <w:p>
            <w:pPr>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02" w:type="dxa"/>
            <w:vMerge w:val="continue"/>
            <w:vAlign w:val="center"/>
          </w:tcPr>
          <w:p>
            <w:pPr>
              <w:snapToGrid w:val="0"/>
              <w:rPr>
                <w:szCs w:val="21"/>
              </w:rPr>
            </w:pPr>
          </w:p>
        </w:tc>
        <w:tc>
          <w:tcPr>
            <w:tcW w:w="1620" w:type="dxa"/>
            <w:vAlign w:val="center"/>
          </w:tcPr>
          <w:p>
            <w:pPr>
              <w:snapToGrid w:val="0"/>
              <w:rPr>
                <w:rFonts w:hAnsi="宋体"/>
                <w:sz w:val="18"/>
                <w:szCs w:val="18"/>
              </w:rPr>
            </w:pPr>
            <w:r>
              <w:rPr>
                <w:rFonts w:hint="eastAsia" w:hAnsi="宋体"/>
                <w:sz w:val="18"/>
                <w:szCs w:val="18"/>
              </w:rPr>
              <w:t>营业业绩 5分</w:t>
            </w:r>
          </w:p>
        </w:tc>
        <w:tc>
          <w:tcPr>
            <w:tcW w:w="4815" w:type="dxa"/>
            <w:vAlign w:val="center"/>
          </w:tcPr>
          <w:p>
            <w:pPr>
              <w:snapToGrid w:val="0"/>
              <w:rPr>
                <w:rFonts w:cs="宋体"/>
                <w:kern w:val="0"/>
                <w:sz w:val="18"/>
                <w:szCs w:val="18"/>
              </w:rPr>
            </w:pPr>
            <w:r>
              <w:rPr>
                <w:rFonts w:hint="eastAsia" w:hAnsi="宋体" w:cs="宋体"/>
                <w:kern w:val="0"/>
                <w:sz w:val="18"/>
                <w:szCs w:val="18"/>
              </w:rPr>
              <w:t>提供</w:t>
            </w:r>
            <w:r>
              <w:rPr>
                <w:rFonts w:hint="eastAsia" w:cs="宋体"/>
                <w:kern w:val="0"/>
                <w:sz w:val="18"/>
                <w:szCs w:val="18"/>
              </w:rPr>
              <w:t>2018</w:t>
            </w:r>
            <w:r>
              <w:rPr>
                <w:rFonts w:hint="eastAsia" w:hAnsi="宋体" w:cs="宋体"/>
                <w:kern w:val="0"/>
                <w:sz w:val="18"/>
                <w:szCs w:val="18"/>
              </w:rPr>
              <w:t>年</w:t>
            </w:r>
            <w:r>
              <w:rPr>
                <w:rFonts w:hint="eastAsia" w:cs="宋体"/>
                <w:kern w:val="0"/>
                <w:sz w:val="18"/>
                <w:szCs w:val="18"/>
              </w:rPr>
              <w:t>1</w:t>
            </w:r>
            <w:r>
              <w:rPr>
                <w:rFonts w:hint="eastAsia" w:hAnsi="宋体" w:cs="宋体"/>
                <w:kern w:val="0"/>
                <w:sz w:val="18"/>
                <w:szCs w:val="18"/>
              </w:rPr>
              <w:t>月</w:t>
            </w:r>
            <w:r>
              <w:rPr>
                <w:rFonts w:hint="eastAsia" w:cs="宋体"/>
                <w:kern w:val="0"/>
                <w:sz w:val="18"/>
                <w:szCs w:val="18"/>
              </w:rPr>
              <w:t>1</w:t>
            </w:r>
            <w:r>
              <w:rPr>
                <w:rFonts w:hint="eastAsia" w:hAnsi="宋体" w:cs="宋体"/>
                <w:kern w:val="0"/>
                <w:sz w:val="18"/>
                <w:szCs w:val="18"/>
              </w:rPr>
              <w:t>日至</w:t>
            </w:r>
            <w:r>
              <w:rPr>
                <w:rFonts w:hint="eastAsia" w:cs="宋体"/>
                <w:kern w:val="0"/>
                <w:sz w:val="18"/>
                <w:szCs w:val="18"/>
              </w:rPr>
              <w:t>2018</w:t>
            </w:r>
            <w:r>
              <w:rPr>
                <w:rFonts w:hint="eastAsia" w:hAnsi="宋体" w:cs="宋体"/>
                <w:kern w:val="0"/>
                <w:sz w:val="18"/>
                <w:szCs w:val="18"/>
              </w:rPr>
              <w:t>年</w:t>
            </w:r>
            <w:r>
              <w:rPr>
                <w:rFonts w:hint="eastAsia" w:cs="宋体"/>
                <w:kern w:val="0"/>
                <w:sz w:val="18"/>
                <w:szCs w:val="18"/>
              </w:rPr>
              <w:t>12</w:t>
            </w:r>
            <w:r>
              <w:rPr>
                <w:rFonts w:hint="eastAsia" w:hAnsi="宋体" w:cs="宋体"/>
                <w:kern w:val="0"/>
                <w:sz w:val="18"/>
                <w:szCs w:val="18"/>
              </w:rPr>
              <w:t>月</w:t>
            </w:r>
            <w:r>
              <w:rPr>
                <w:rFonts w:hint="eastAsia" w:cs="宋体"/>
                <w:kern w:val="0"/>
                <w:sz w:val="18"/>
                <w:szCs w:val="18"/>
              </w:rPr>
              <w:t>31</w:t>
            </w:r>
            <w:r>
              <w:rPr>
                <w:rFonts w:hint="eastAsia" w:hAnsi="宋体" w:cs="宋体"/>
                <w:kern w:val="0"/>
                <w:sz w:val="18"/>
                <w:szCs w:val="18"/>
              </w:rPr>
              <w:t>日学校单个食堂餐饮服务营业额。</w:t>
            </w:r>
          </w:p>
        </w:tc>
        <w:tc>
          <w:tcPr>
            <w:tcW w:w="855" w:type="dxa"/>
            <w:vAlign w:val="center"/>
          </w:tcPr>
          <w:p>
            <w:pPr>
              <w:snapToGrid w:val="0"/>
              <w:jc w:val="center"/>
              <w:rPr>
                <w:sz w:val="18"/>
                <w:szCs w:val="18"/>
              </w:rPr>
            </w:pPr>
            <w:r>
              <w:rPr>
                <w:rFonts w:hint="eastAsia"/>
                <w:sz w:val="18"/>
                <w:szCs w:val="18"/>
              </w:rPr>
              <w:t>5</w:t>
            </w:r>
            <w:r>
              <w:rPr>
                <w:rFonts w:hint="eastAsia" w:hAnsi="宋体"/>
                <w:sz w:val="18"/>
                <w:szCs w:val="18"/>
              </w:rPr>
              <w:t>分</w:t>
            </w:r>
          </w:p>
        </w:tc>
        <w:tc>
          <w:tcPr>
            <w:tcW w:w="5378" w:type="dxa"/>
            <w:vAlign w:val="center"/>
          </w:tcPr>
          <w:p>
            <w:pPr>
              <w:snapToGrid w:val="0"/>
              <w:rPr>
                <w:rFonts w:cs="宋体"/>
                <w:kern w:val="0"/>
                <w:sz w:val="18"/>
                <w:szCs w:val="18"/>
              </w:rPr>
            </w:pPr>
            <w:r>
              <w:rPr>
                <w:rFonts w:hint="eastAsia" w:hAnsi="宋体" w:cs="宋体"/>
                <w:kern w:val="0"/>
                <w:sz w:val="18"/>
                <w:szCs w:val="18"/>
              </w:rPr>
              <w:t>近一年营业额平均数，达到</w:t>
            </w:r>
            <w:r>
              <w:rPr>
                <w:rFonts w:hint="eastAsia" w:cs="宋体"/>
                <w:kern w:val="0"/>
                <w:sz w:val="18"/>
                <w:szCs w:val="18"/>
              </w:rPr>
              <w:t>80</w:t>
            </w:r>
            <w:r>
              <w:rPr>
                <w:rFonts w:hint="eastAsia" w:hAnsi="宋体" w:cs="宋体"/>
                <w:kern w:val="0"/>
                <w:sz w:val="18"/>
                <w:szCs w:val="18"/>
              </w:rPr>
              <w:t>万元</w:t>
            </w:r>
            <w:r>
              <w:rPr>
                <w:rFonts w:hint="eastAsia" w:cs="宋体"/>
                <w:kern w:val="0"/>
                <w:sz w:val="18"/>
                <w:szCs w:val="18"/>
              </w:rPr>
              <w:t>/</w:t>
            </w:r>
            <w:r>
              <w:rPr>
                <w:rFonts w:hint="eastAsia" w:hAnsi="宋体" w:cs="宋体"/>
                <w:kern w:val="0"/>
                <w:sz w:val="18"/>
                <w:szCs w:val="18"/>
              </w:rPr>
              <w:t>月得</w:t>
            </w:r>
            <w:r>
              <w:rPr>
                <w:rFonts w:hint="eastAsia" w:cs="宋体"/>
                <w:kern w:val="0"/>
                <w:sz w:val="18"/>
                <w:szCs w:val="18"/>
              </w:rPr>
              <w:t>2</w:t>
            </w:r>
            <w:r>
              <w:rPr>
                <w:rFonts w:hint="eastAsia" w:hAnsi="宋体" w:cs="宋体"/>
                <w:kern w:val="0"/>
                <w:sz w:val="18"/>
                <w:szCs w:val="18"/>
              </w:rPr>
              <w:t>分；</w:t>
            </w:r>
            <w:r>
              <w:rPr>
                <w:rFonts w:hint="eastAsia" w:cs="宋体"/>
                <w:kern w:val="0"/>
                <w:sz w:val="18"/>
                <w:szCs w:val="18"/>
              </w:rPr>
              <w:t>80-90</w:t>
            </w:r>
            <w:r>
              <w:rPr>
                <w:rFonts w:hint="eastAsia" w:hAnsi="宋体" w:cs="宋体"/>
                <w:kern w:val="0"/>
                <w:sz w:val="18"/>
                <w:szCs w:val="18"/>
              </w:rPr>
              <w:t>万元</w:t>
            </w:r>
            <w:r>
              <w:rPr>
                <w:rFonts w:hint="eastAsia" w:cs="宋体"/>
                <w:kern w:val="0"/>
                <w:sz w:val="18"/>
                <w:szCs w:val="18"/>
              </w:rPr>
              <w:t>/</w:t>
            </w:r>
            <w:r>
              <w:rPr>
                <w:rFonts w:hint="eastAsia" w:hAnsi="宋体" w:cs="宋体"/>
                <w:kern w:val="0"/>
                <w:sz w:val="18"/>
                <w:szCs w:val="18"/>
              </w:rPr>
              <w:t>月得</w:t>
            </w:r>
            <w:r>
              <w:rPr>
                <w:rFonts w:hint="eastAsia" w:cs="宋体"/>
                <w:kern w:val="0"/>
                <w:sz w:val="18"/>
                <w:szCs w:val="18"/>
              </w:rPr>
              <w:t>3</w:t>
            </w:r>
            <w:r>
              <w:rPr>
                <w:rFonts w:hint="eastAsia" w:hAnsi="宋体" w:cs="宋体"/>
                <w:kern w:val="0"/>
                <w:sz w:val="18"/>
                <w:szCs w:val="18"/>
              </w:rPr>
              <w:t>分；</w:t>
            </w:r>
            <w:r>
              <w:rPr>
                <w:rFonts w:hint="eastAsia" w:cs="宋体"/>
                <w:kern w:val="0"/>
                <w:sz w:val="18"/>
                <w:szCs w:val="18"/>
              </w:rPr>
              <w:t>90-100</w:t>
            </w:r>
            <w:r>
              <w:rPr>
                <w:rFonts w:hint="eastAsia" w:hAnsi="宋体" w:cs="宋体"/>
                <w:kern w:val="0"/>
                <w:sz w:val="18"/>
                <w:szCs w:val="18"/>
              </w:rPr>
              <w:t>万元</w:t>
            </w:r>
            <w:r>
              <w:rPr>
                <w:rFonts w:hint="eastAsia" w:cs="宋体"/>
                <w:kern w:val="0"/>
                <w:sz w:val="18"/>
                <w:szCs w:val="18"/>
              </w:rPr>
              <w:t>/</w:t>
            </w:r>
            <w:r>
              <w:rPr>
                <w:rFonts w:hint="eastAsia" w:hAnsi="宋体" w:cs="宋体"/>
                <w:kern w:val="0"/>
                <w:sz w:val="18"/>
                <w:szCs w:val="18"/>
              </w:rPr>
              <w:t>月得</w:t>
            </w:r>
            <w:r>
              <w:rPr>
                <w:rFonts w:hint="eastAsia" w:cs="宋体"/>
                <w:kern w:val="0"/>
                <w:sz w:val="18"/>
                <w:szCs w:val="18"/>
              </w:rPr>
              <w:t>4</w:t>
            </w:r>
            <w:r>
              <w:rPr>
                <w:rFonts w:hint="eastAsia" w:hAnsi="宋体" w:cs="宋体"/>
                <w:kern w:val="0"/>
                <w:sz w:val="18"/>
                <w:szCs w:val="18"/>
              </w:rPr>
              <w:t>分；</w:t>
            </w:r>
            <w:r>
              <w:rPr>
                <w:rFonts w:hint="eastAsia" w:cs="宋体"/>
                <w:kern w:val="0"/>
                <w:sz w:val="18"/>
                <w:szCs w:val="18"/>
              </w:rPr>
              <w:t>100</w:t>
            </w:r>
            <w:r>
              <w:rPr>
                <w:rFonts w:hint="eastAsia" w:hAnsi="宋体" w:cs="宋体"/>
                <w:kern w:val="0"/>
                <w:sz w:val="18"/>
                <w:szCs w:val="18"/>
              </w:rPr>
              <w:t>万</w:t>
            </w:r>
            <w:r>
              <w:rPr>
                <w:rFonts w:hint="eastAsia" w:cs="宋体"/>
                <w:kern w:val="0"/>
                <w:sz w:val="18"/>
                <w:szCs w:val="18"/>
              </w:rPr>
              <w:t>/</w:t>
            </w:r>
            <w:r>
              <w:rPr>
                <w:rFonts w:hint="eastAsia" w:hAnsi="宋体" w:cs="宋体"/>
                <w:kern w:val="0"/>
                <w:sz w:val="18"/>
                <w:szCs w:val="18"/>
              </w:rPr>
              <w:t>月以上得</w:t>
            </w:r>
            <w:r>
              <w:rPr>
                <w:rFonts w:hint="eastAsia" w:cs="宋体"/>
                <w:kern w:val="0"/>
                <w:sz w:val="18"/>
                <w:szCs w:val="18"/>
              </w:rPr>
              <w:t>5</w:t>
            </w:r>
            <w:r>
              <w:rPr>
                <w:rFonts w:hint="eastAsia" w:hAnsi="宋体" w:cs="宋体"/>
                <w:kern w:val="0"/>
                <w:sz w:val="18"/>
                <w:szCs w:val="18"/>
              </w:rPr>
              <w:t>分。</w:t>
            </w:r>
          </w:p>
        </w:tc>
        <w:tc>
          <w:tcPr>
            <w:tcW w:w="696" w:type="dxa"/>
            <w:vAlign w:val="center"/>
          </w:tcPr>
          <w:p>
            <w:pPr>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1102" w:type="dxa"/>
            <w:vMerge w:val="continue"/>
            <w:vAlign w:val="center"/>
          </w:tcPr>
          <w:p>
            <w:pPr>
              <w:snapToGrid w:val="0"/>
              <w:rPr>
                <w:szCs w:val="21"/>
              </w:rPr>
            </w:pPr>
          </w:p>
        </w:tc>
        <w:tc>
          <w:tcPr>
            <w:tcW w:w="1620" w:type="dxa"/>
            <w:vMerge w:val="restart"/>
            <w:vAlign w:val="center"/>
          </w:tcPr>
          <w:p>
            <w:pPr>
              <w:snapToGrid w:val="0"/>
              <w:rPr>
                <w:rFonts w:hAnsi="宋体"/>
                <w:sz w:val="18"/>
                <w:szCs w:val="18"/>
              </w:rPr>
            </w:pPr>
            <w:r>
              <w:rPr>
                <w:rFonts w:hint="eastAsia" w:hAnsi="宋体"/>
                <w:sz w:val="18"/>
                <w:szCs w:val="18"/>
              </w:rPr>
              <w:t>企业信誉  5分</w:t>
            </w:r>
          </w:p>
        </w:tc>
        <w:tc>
          <w:tcPr>
            <w:tcW w:w="4815" w:type="dxa"/>
            <w:vAlign w:val="center"/>
          </w:tcPr>
          <w:p>
            <w:pPr>
              <w:widowControl/>
              <w:snapToGrid w:val="0"/>
              <w:rPr>
                <w:rFonts w:cs="宋体"/>
                <w:kern w:val="0"/>
                <w:sz w:val="18"/>
                <w:szCs w:val="18"/>
              </w:rPr>
            </w:pPr>
            <w:r>
              <w:rPr>
                <w:rFonts w:hint="eastAsia" w:hAnsi="宋体" w:cs="宋体"/>
                <w:kern w:val="0"/>
                <w:sz w:val="18"/>
                <w:szCs w:val="18"/>
              </w:rPr>
              <w:t>银行资信证明（</w:t>
            </w:r>
            <w:r>
              <w:rPr>
                <w:rFonts w:hint="eastAsia" w:hAnsi="宋体"/>
                <w:sz w:val="18"/>
                <w:szCs w:val="18"/>
              </w:rPr>
              <w:t>餐饮企业</w:t>
            </w:r>
            <w:r>
              <w:rPr>
                <w:rFonts w:hint="eastAsia" w:hAnsi="宋体" w:cs="宋体"/>
                <w:kern w:val="0"/>
                <w:sz w:val="18"/>
                <w:szCs w:val="18"/>
              </w:rPr>
              <w:t>的基本户）和近半年的账户流水。</w:t>
            </w:r>
          </w:p>
        </w:tc>
        <w:tc>
          <w:tcPr>
            <w:tcW w:w="855" w:type="dxa"/>
            <w:vAlign w:val="center"/>
          </w:tcPr>
          <w:p>
            <w:pPr>
              <w:snapToGrid w:val="0"/>
              <w:jc w:val="center"/>
              <w:rPr>
                <w:sz w:val="18"/>
                <w:szCs w:val="18"/>
              </w:rPr>
            </w:pPr>
            <w:r>
              <w:rPr>
                <w:rFonts w:hint="eastAsia"/>
                <w:sz w:val="18"/>
                <w:szCs w:val="18"/>
              </w:rPr>
              <w:t>3</w:t>
            </w:r>
            <w:r>
              <w:rPr>
                <w:rFonts w:hint="eastAsia" w:hAnsi="宋体"/>
                <w:sz w:val="18"/>
                <w:szCs w:val="18"/>
              </w:rPr>
              <w:t>分</w:t>
            </w:r>
          </w:p>
          <w:p>
            <w:pPr>
              <w:snapToGrid w:val="0"/>
              <w:jc w:val="center"/>
              <w:rPr>
                <w:sz w:val="18"/>
                <w:szCs w:val="18"/>
              </w:rPr>
            </w:pPr>
          </w:p>
        </w:tc>
        <w:tc>
          <w:tcPr>
            <w:tcW w:w="5378" w:type="dxa"/>
            <w:vAlign w:val="center"/>
          </w:tcPr>
          <w:p>
            <w:pPr>
              <w:snapToGrid w:val="0"/>
              <w:rPr>
                <w:sz w:val="18"/>
                <w:szCs w:val="18"/>
              </w:rPr>
            </w:pPr>
            <w:r>
              <w:rPr>
                <w:rFonts w:hint="eastAsia" w:hAnsi="宋体"/>
                <w:sz w:val="18"/>
                <w:szCs w:val="18"/>
              </w:rPr>
              <w:t>资料齐全的得</w:t>
            </w:r>
            <w:r>
              <w:rPr>
                <w:rFonts w:hint="eastAsia"/>
                <w:sz w:val="18"/>
                <w:szCs w:val="18"/>
              </w:rPr>
              <w:t>3</w:t>
            </w:r>
            <w:r>
              <w:rPr>
                <w:rFonts w:hint="eastAsia" w:hAnsi="宋体"/>
                <w:sz w:val="18"/>
                <w:szCs w:val="18"/>
              </w:rPr>
              <w:t>分，否则得</w:t>
            </w:r>
            <w:r>
              <w:rPr>
                <w:rFonts w:hint="eastAsia"/>
                <w:sz w:val="18"/>
                <w:szCs w:val="18"/>
              </w:rPr>
              <w:t>0</w:t>
            </w:r>
            <w:r>
              <w:rPr>
                <w:rFonts w:hint="eastAsia" w:hAnsi="宋体"/>
                <w:sz w:val="18"/>
                <w:szCs w:val="18"/>
              </w:rPr>
              <w:t>分。</w:t>
            </w:r>
          </w:p>
        </w:tc>
        <w:tc>
          <w:tcPr>
            <w:tcW w:w="696" w:type="dxa"/>
            <w:vAlign w:val="center"/>
          </w:tcPr>
          <w:p>
            <w:pPr>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1102" w:type="dxa"/>
            <w:vMerge w:val="continue"/>
            <w:vAlign w:val="center"/>
          </w:tcPr>
          <w:p>
            <w:pPr>
              <w:snapToGrid w:val="0"/>
              <w:rPr>
                <w:szCs w:val="21"/>
              </w:rPr>
            </w:pPr>
          </w:p>
        </w:tc>
        <w:tc>
          <w:tcPr>
            <w:tcW w:w="1620" w:type="dxa"/>
            <w:vMerge w:val="continue"/>
            <w:vAlign w:val="center"/>
          </w:tcPr>
          <w:p>
            <w:pPr>
              <w:snapToGrid w:val="0"/>
              <w:rPr>
                <w:rFonts w:hAnsi="宋体"/>
                <w:sz w:val="18"/>
                <w:szCs w:val="18"/>
              </w:rPr>
            </w:pPr>
          </w:p>
        </w:tc>
        <w:tc>
          <w:tcPr>
            <w:tcW w:w="4815" w:type="dxa"/>
            <w:vAlign w:val="center"/>
          </w:tcPr>
          <w:p>
            <w:pPr>
              <w:snapToGrid w:val="0"/>
              <w:rPr>
                <w:rFonts w:cs="宋体"/>
                <w:kern w:val="0"/>
                <w:sz w:val="18"/>
                <w:szCs w:val="18"/>
              </w:rPr>
            </w:pPr>
            <w:r>
              <w:rPr>
                <w:rFonts w:hint="eastAsia" w:cs="宋体"/>
                <w:kern w:val="0"/>
                <w:sz w:val="18"/>
                <w:szCs w:val="18"/>
              </w:rPr>
              <w:t>由第三方财务审计机构出具的投标企业近三年财务审计报告。</w:t>
            </w:r>
          </w:p>
        </w:tc>
        <w:tc>
          <w:tcPr>
            <w:tcW w:w="855" w:type="dxa"/>
            <w:vAlign w:val="center"/>
          </w:tcPr>
          <w:p>
            <w:pPr>
              <w:snapToGrid w:val="0"/>
              <w:jc w:val="center"/>
              <w:rPr>
                <w:sz w:val="18"/>
                <w:szCs w:val="18"/>
              </w:rPr>
            </w:pPr>
            <w:r>
              <w:rPr>
                <w:rFonts w:hint="eastAsia"/>
                <w:sz w:val="18"/>
                <w:szCs w:val="18"/>
              </w:rPr>
              <w:t>2</w:t>
            </w:r>
            <w:r>
              <w:rPr>
                <w:rFonts w:hint="eastAsia" w:hAnsi="宋体"/>
                <w:sz w:val="18"/>
                <w:szCs w:val="18"/>
              </w:rPr>
              <w:t>分</w:t>
            </w:r>
          </w:p>
          <w:p>
            <w:pPr>
              <w:snapToGrid w:val="0"/>
              <w:jc w:val="center"/>
              <w:rPr>
                <w:sz w:val="18"/>
                <w:szCs w:val="18"/>
              </w:rPr>
            </w:pPr>
          </w:p>
        </w:tc>
        <w:tc>
          <w:tcPr>
            <w:tcW w:w="5378" w:type="dxa"/>
            <w:vAlign w:val="center"/>
          </w:tcPr>
          <w:p>
            <w:pPr>
              <w:snapToGrid w:val="0"/>
              <w:rPr>
                <w:sz w:val="18"/>
                <w:szCs w:val="18"/>
              </w:rPr>
            </w:pPr>
            <w:r>
              <w:rPr>
                <w:rFonts w:hint="eastAsia" w:hAnsi="宋体"/>
                <w:sz w:val="18"/>
                <w:szCs w:val="18"/>
              </w:rPr>
              <w:t>资料齐全的得</w:t>
            </w:r>
            <w:r>
              <w:rPr>
                <w:rFonts w:hint="eastAsia"/>
                <w:sz w:val="18"/>
                <w:szCs w:val="18"/>
              </w:rPr>
              <w:t>2</w:t>
            </w:r>
            <w:r>
              <w:rPr>
                <w:rFonts w:hint="eastAsia" w:hAnsi="宋体"/>
                <w:sz w:val="18"/>
                <w:szCs w:val="18"/>
              </w:rPr>
              <w:t>分，否则得</w:t>
            </w:r>
            <w:r>
              <w:rPr>
                <w:rFonts w:hint="eastAsia"/>
                <w:sz w:val="18"/>
                <w:szCs w:val="18"/>
              </w:rPr>
              <w:t>0</w:t>
            </w:r>
            <w:r>
              <w:rPr>
                <w:rFonts w:hint="eastAsia" w:hAnsi="宋体"/>
                <w:sz w:val="18"/>
                <w:szCs w:val="18"/>
              </w:rPr>
              <w:t>分。</w:t>
            </w:r>
          </w:p>
          <w:p>
            <w:pPr>
              <w:snapToGrid w:val="0"/>
              <w:rPr>
                <w:sz w:val="18"/>
                <w:szCs w:val="18"/>
              </w:rPr>
            </w:pPr>
          </w:p>
        </w:tc>
        <w:tc>
          <w:tcPr>
            <w:tcW w:w="696" w:type="dxa"/>
            <w:vAlign w:val="center"/>
          </w:tcPr>
          <w:p>
            <w:pPr>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102" w:type="dxa"/>
            <w:vMerge w:val="restart"/>
            <w:vAlign w:val="center"/>
          </w:tcPr>
          <w:p>
            <w:pPr>
              <w:snapToGrid w:val="0"/>
              <w:jc w:val="left"/>
              <w:rPr>
                <w:szCs w:val="21"/>
              </w:rPr>
            </w:pPr>
            <w:r>
              <w:rPr>
                <w:rFonts w:hint="eastAsia" w:hAnsi="宋体"/>
                <w:szCs w:val="21"/>
              </w:rPr>
              <w:t>食堂现场负责人综合素质（10分）</w:t>
            </w:r>
          </w:p>
        </w:tc>
        <w:tc>
          <w:tcPr>
            <w:tcW w:w="1620" w:type="dxa"/>
            <w:vAlign w:val="center"/>
          </w:tcPr>
          <w:p>
            <w:pPr>
              <w:snapToGrid w:val="0"/>
              <w:rPr>
                <w:rFonts w:hAnsi="宋体"/>
                <w:sz w:val="18"/>
                <w:szCs w:val="18"/>
              </w:rPr>
            </w:pPr>
            <w:r>
              <w:rPr>
                <w:rFonts w:hint="eastAsia" w:hAnsi="宋体"/>
                <w:sz w:val="18"/>
                <w:szCs w:val="18"/>
              </w:rPr>
              <w:t>管理资质  2分</w:t>
            </w:r>
          </w:p>
        </w:tc>
        <w:tc>
          <w:tcPr>
            <w:tcW w:w="4815" w:type="dxa"/>
            <w:vAlign w:val="center"/>
          </w:tcPr>
          <w:p>
            <w:pPr>
              <w:snapToGrid w:val="0"/>
              <w:rPr>
                <w:rFonts w:cs="宋体"/>
                <w:kern w:val="0"/>
                <w:sz w:val="18"/>
                <w:szCs w:val="18"/>
              </w:rPr>
            </w:pPr>
            <w:r>
              <w:rPr>
                <w:rFonts w:hint="eastAsia" w:hAnsi="宋体" w:cs="宋体"/>
                <w:kern w:val="0"/>
                <w:sz w:val="18"/>
                <w:szCs w:val="18"/>
              </w:rPr>
              <w:t>管理类高级经理人</w:t>
            </w:r>
          </w:p>
        </w:tc>
        <w:tc>
          <w:tcPr>
            <w:tcW w:w="855" w:type="dxa"/>
            <w:vAlign w:val="center"/>
          </w:tcPr>
          <w:p>
            <w:pPr>
              <w:snapToGrid w:val="0"/>
              <w:jc w:val="center"/>
              <w:rPr>
                <w:rFonts w:cs="宋体"/>
                <w:kern w:val="0"/>
                <w:sz w:val="18"/>
                <w:szCs w:val="18"/>
              </w:rPr>
            </w:pPr>
            <w:r>
              <w:rPr>
                <w:rFonts w:hint="eastAsia" w:cs="宋体"/>
                <w:kern w:val="0"/>
                <w:sz w:val="18"/>
                <w:szCs w:val="18"/>
              </w:rPr>
              <w:t>2分</w:t>
            </w:r>
          </w:p>
        </w:tc>
        <w:tc>
          <w:tcPr>
            <w:tcW w:w="5378" w:type="dxa"/>
            <w:vAlign w:val="center"/>
          </w:tcPr>
          <w:p>
            <w:pPr>
              <w:snapToGrid w:val="0"/>
              <w:rPr>
                <w:rFonts w:cs="宋体"/>
                <w:kern w:val="0"/>
                <w:sz w:val="18"/>
                <w:szCs w:val="18"/>
              </w:rPr>
            </w:pPr>
            <w:r>
              <w:rPr>
                <w:rFonts w:hint="eastAsia" w:hAnsi="宋体" w:cs="宋体"/>
                <w:kern w:val="0"/>
                <w:sz w:val="18"/>
                <w:szCs w:val="18"/>
              </w:rPr>
              <w:t>高级的得</w:t>
            </w:r>
            <w:r>
              <w:rPr>
                <w:rFonts w:hint="eastAsia" w:cs="宋体"/>
                <w:kern w:val="0"/>
                <w:sz w:val="18"/>
                <w:szCs w:val="18"/>
              </w:rPr>
              <w:t>2</w:t>
            </w:r>
            <w:r>
              <w:rPr>
                <w:rFonts w:hint="eastAsia" w:hAnsi="宋体" w:cs="宋体"/>
                <w:kern w:val="0"/>
                <w:sz w:val="18"/>
                <w:szCs w:val="18"/>
              </w:rPr>
              <w:t>分，中级的得</w:t>
            </w:r>
            <w:r>
              <w:rPr>
                <w:rFonts w:hint="eastAsia" w:cs="宋体"/>
                <w:kern w:val="0"/>
                <w:sz w:val="18"/>
                <w:szCs w:val="18"/>
              </w:rPr>
              <w:t>1</w:t>
            </w:r>
            <w:r>
              <w:rPr>
                <w:rFonts w:hint="eastAsia" w:hAnsi="宋体" w:cs="宋体"/>
                <w:kern w:val="0"/>
                <w:sz w:val="18"/>
                <w:szCs w:val="18"/>
              </w:rPr>
              <w:t>分；</w:t>
            </w:r>
          </w:p>
        </w:tc>
        <w:tc>
          <w:tcPr>
            <w:tcW w:w="696" w:type="dxa"/>
            <w:vAlign w:val="center"/>
          </w:tcPr>
          <w:p>
            <w:pPr>
              <w:snapToGrid w:val="0"/>
              <w:rPr>
                <w:rFonts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02" w:type="dxa"/>
            <w:vMerge w:val="continue"/>
            <w:vAlign w:val="center"/>
          </w:tcPr>
          <w:p>
            <w:pPr>
              <w:snapToGrid w:val="0"/>
              <w:jc w:val="left"/>
              <w:rPr>
                <w:szCs w:val="21"/>
              </w:rPr>
            </w:pPr>
          </w:p>
        </w:tc>
        <w:tc>
          <w:tcPr>
            <w:tcW w:w="1620" w:type="dxa"/>
            <w:vAlign w:val="center"/>
          </w:tcPr>
          <w:p>
            <w:pPr>
              <w:snapToGrid w:val="0"/>
              <w:rPr>
                <w:rFonts w:hAnsi="宋体"/>
                <w:sz w:val="18"/>
                <w:szCs w:val="18"/>
              </w:rPr>
            </w:pPr>
            <w:r>
              <w:rPr>
                <w:rFonts w:hint="eastAsia" w:hAnsi="宋体"/>
                <w:sz w:val="18"/>
                <w:szCs w:val="18"/>
              </w:rPr>
              <w:t>管理经历  3分</w:t>
            </w:r>
          </w:p>
        </w:tc>
        <w:tc>
          <w:tcPr>
            <w:tcW w:w="4815" w:type="dxa"/>
            <w:vAlign w:val="center"/>
          </w:tcPr>
          <w:p>
            <w:pPr>
              <w:widowControl/>
              <w:snapToGrid w:val="0"/>
              <w:rPr>
                <w:rFonts w:cs="宋体"/>
                <w:kern w:val="0"/>
                <w:sz w:val="18"/>
                <w:szCs w:val="18"/>
              </w:rPr>
            </w:pPr>
            <w:r>
              <w:rPr>
                <w:rFonts w:hint="eastAsia" w:hAnsi="宋体" w:cs="宋体"/>
                <w:kern w:val="0"/>
                <w:sz w:val="18"/>
                <w:szCs w:val="18"/>
              </w:rPr>
              <w:t>担任餐饮企业管理经理工作</w:t>
            </w:r>
            <w:r>
              <w:rPr>
                <w:rFonts w:hint="eastAsia" w:cs="宋体"/>
                <w:kern w:val="0"/>
                <w:sz w:val="18"/>
                <w:szCs w:val="18"/>
              </w:rPr>
              <w:t>5</w:t>
            </w:r>
            <w:r>
              <w:rPr>
                <w:rFonts w:hint="eastAsia" w:hAnsi="宋体" w:cs="宋体"/>
                <w:kern w:val="0"/>
                <w:sz w:val="18"/>
                <w:szCs w:val="18"/>
              </w:rPr>
              <w:t>年及以上或担任学校学生食堂经理（负责人）工作</w:t>
            </w:r>
            <w:r>
              <w:rPr>
                <w:rFonts w:hint="eastAsia" w:cs="宋体"/>
                <w:kern w:val="0"/>
                <w:sz w:val="18"/>
                <w:szCs w:val="18"/>
              </w:rPr>
              <w:t>3</w:t>
            </w:r>
            <w:r>
              <w:rPr>
                <w:rFonts w:hint="eastAsia" w:hAnsi="宋体" w:cs="宋体"/>
                <w:kern w:val="0"/>
                <w:sz w:val="18"/>
                <w:szCs w:val="18"/>
              </w:rPr>
              <w:t>年及以上。</w:t>
            </w:r>
          </w:p>
        </w:tc>
        <w:tc>
          <w:tcPr>
            <w:tcW w:w="855" w:type="dxa"/>
            <w:vAlign w:val="center"/>
          </w:tcPr>
          <w:p>
            <w:pPr>
              <w:snapToGrid w:val="0"/>
              <w:jc w:val="center"/>
              <w:rPr>
                <w:sz w:val="18"/>
                <w:szCs w:val="18"/>
              </w:rPr>
            </w:pPr>
            <w:r>
              <w:rPr>
                <w:rFonts w:hint="eastAsia" w:cs="宋体"/>
                <w:kern w:val="0"/>
                <w:sz w:val="18"/>
                <w:szCs w:val="18"/>
              </w:rPr>
              <w:t>3</w:t>
            </w:r>
            <w:r>
              <w:rPr>
                <w:rFonts w:hint="eastAsia" w:hAnsi="宋体" w:cs="宋体"/>
                <w:kern w:val="0"/>
                <w:sz w:val="18"/>
                <w:szCs w:val="18"/>
              </w:rPr>
              <w:t>分</w:t>
            </w:r>
          </w:p>
        </w:tc>
        <w:tc>
          <w:tcPr>
            <w:tcW w:w="5378" w:type="dxa"/>
            <w:vAlign w:val="center"/>
          </w:tcPr>
          <w:p>
            <w:pPr>
              <w:snapToGrid w:val="0"/>
              <w:rPr>
                <w:sz w:val="18"/>
                <w:szCs w:val="18"/>
              </w:rPr>
            </w:pPr>
            <w:r>
              <w:rPr>
                <w:rFonts w:hint="eastAsia" w:hAnsi="宋体"/>
                <w:sz w:val="18"/>
                <w:szCs w:val="18"/>
              </w:rPr>
              <w:t>满足基本条件的得</w:t>
            </w:r>
            <w:r>
              <w:rPr>
                <w:rFonts w:hint="eastAsia"/>
                <w:sz w:val="18"/>
                <w:szCs w:val="18"/>
              </w:rPr>
              <w:t>1</w:t>
            </w:r>
            <w:r>
              <w:rPr>
                <w:rFonts w:hint="eastAsia" w:hAnsi="宋体"/>
                <w:sz w:val="18"/>
                <w:szCs w:val="18"/>
              </w:rPr>
              <w:t>分，每多一年加</w:t>
            </w:r>
            <w:r>
              <w:rPr>
                <w:rFonts w:hint="eastAsia"/>
                <w:sz w:val="18"/>
                <w:szCs w:val="18"/>
              </w:rPr>
              <w:t>0.5</w:t>
            </w:r>
            <w:r>
              <w:rPr>
                <w:rFonts w:hint="eastAsia" w:hAnsi="宋体"/>
                <w:sz w:val="18"/>
                <w:szCs w:val="18"/>
              </w:rPr>
              <w:t>分，最高</w:t>
            </w:r>
            <w:r>
              <w:rPr>
                <w:rFonts w:hint="eastAsia"/>
                <w:sz w:val="18"/>
                <w:szCs w:val="18"/>
              </w:rPr>
              <w:t>3</w:t>
            </w:r>
            <w:r>
              <w:rPr>
                <w:rFonts w:hint="eastAsia" w:hAnsi="宋体"/>
                <w:sz w:val="18"/>
                <w:szCs w:val="18"/>
              </w:rPr>
              <w:t>分；不满足不得分。</w:t>
            </w:r>
          </w:p>
        </w:tc>
        <w:tc>
          <w:tcPr>
            <w:tcW w:w="696" w:type="dxa"/>
            <w:vAlign w:val="center"/>
          </w:tcPr>
          <w:p>
            <w:pPr>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02" w:type="dxa"/>
            <w:vMerge w:val="continue"/>
            <w:vAlign w:val="center"/>
          </w:tcPr>
          <w:p>
            <w:pPr>
              <w:snapToGrid w:val="0"/>
              <w:rPr>
                <w:rFonts w:cs="宋体"/>
                <w:kern w:val="0"/>
                <w:szCs w:val="21"/>
              </w:rPr>
            </w:pPr>
          </w:p>
        </w:tc>
        <w:tc>
          <w:tcPr>
            <w:tcW w:w="1620" w:type="dxa"/>
            <w:vAlign w:val="center"/>
          </w:tcPr>
          <w:p>
            <w:pPr>
              <w:snapToGrid w:val="0"/>
              <w:rPr>
                <w:rFonts w:hAnsi="宋体"/>
                <w:sz w:val="18"/>
                <w:szCs w:val="18"/>
              </w:rPr>
            </w:pPr>
            <w:r>
              <w:rPr>
                <w:rFonts w:hint="eastAsia" w:hAnsi="宋体"/>
                <w:sz w:val="18"/>
                <w:szCs w:val="18"/>
              </w:rPr>
              <w:t>管理业绩  3分</w:t>
            </w:r>
          </w:p>
        </w:tc>
        <w:tc>
          <w:tcPr>
            <w:tcW w:w="4815" w:type="dxa"/>
            <w:vAlign w:val="center"/>
          </w:tcPr>
          <w:p>
            <w:pPr>
              <w:widowControl/>
              <w:snapToGrid w:val="0"/>
              <w:rPr>
                <w:rFonts w:cs="宋体"/>
                <w:kern w:val="0"/>
                <w:sz w:val="18"/>
                <w:szCs w:val="18"/>
              </w:rPr>
            </w:pPr>
            <w:r>
              <w:rPr>
                <w:rFonts w:hint="eastAsia" w:hAnsi="宋体" w:cs="宋体"/>
                <w:kern w:val="0"/>
                <w:sz w:val="18"/>
                <w:szCs w:val="18"/>
              </w:rPr>
              <w:t>担任经理期间，获省级及以上餐饮协会先进个人等相关称号的。</w:t>
            </w:r>
          </w:p>
        </w:tc>
        <w:tc>
          <w:tcPr>
            <w:tcW w:w="855" w:type="dxa"/>
            <w:vAlign w:val="center"/>
          </w:tcPr>
          <w:p>
            <w:pPr>
              <w:snapToGrid w:val="0"/>
              <w:jc w:val="center"/>
              <w:rPr>
                <w:sz w:val="18"/>
                <w:szCs w:val="18"/>
              </w:rPr>
            </w:pPr>
            <w:r>
              <w:rPr>
                <w:rFonts w:hint="eastAsia"/>
                <w:sz w:val="18"/>
                <w:szCs w:val="18"/>
              </w:rPr>
              <w:t>3</w:t>
            </w:r>
            <w:r>
              <w:rPr>
                <w:rFonts w:hint="eastAsia" w:hAnsi="宋体"/>
                <w:sz w:val="18"/>
                <w:szCs w:val="18"/>
              </w:rPr>
              <w:t>分</w:t>
            </w:r>
          </w:p>
        </w:tc>
        <w:tc>
          <w:tcPr>
            <w:tcW w:w="5378" w:type="dxa"/>
            <w:vAlign w:val="center"/>
          </w:tcPr>
          <w:p>
            <w:pPr>
              <w:widowControl/>
              <w:snapToGrid w:val="0"/>
              <w:rPr>
                <w:sz w:val="18"/>
                <w:szCs w:val="18"/>
              </w:rPr>
            </w:pPr>
            <w:r>
              <w:rPr>
                <w:rFonts w:hint="eastAsia" w:hAnsi="宋体" w:cs="宋体"/>
                <w:kern w:val="0"/>
                <w:sz w:val="18"/>
                <w:szCs w:val="18"/>
              </w:rPr>
              <w:t>获得省级及以上颁发的个人相关荣誉称号的有一个得1分，最高得</w:t>
            </w:r>
            <w:r>
              <w:rPr>
                <w:rFonts w:hint="eastAsia" w:cs="宋体"/>
                <w:kern w:val="0"/>
                <w:sz w:val="18"/>
                <w:szCs w:val="18"/>
              </w:rPr>
              <w:t>3</w:t>
            </w:r>
            <w:r>
              <w:rPr>
                <w:rFonts w:hint="eastAsia" w:hAnsi="宋体" w:cs="宋体"/>
                <w:kern w:val="0"/>
                <w:sz w:val="18"/>
                <w:szCs w:val="18"/>
              </w:rPr>
              <w:t>分。</w:t>
            </w:r>
          </w:p>
        </w:tc>
        <w:tc>
          <w:tcPr>
            <w:tcW w:w="696" w:type="dxa"/>
            <w:vAlign w:val="center"/>
          </w:tcPr>
          <w:p>
            <w:pPr>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1102" w:type="dxa"/>
            <w:vMerge w:val="continue"/>
            <w:vAlign w:val="center"/>
          </w:tcPr>
          <w:p>
            <w:pPr>
              <w:snapToGrid w:val="0"/>
              <w:rPr>
                <w:rFonts w:cs="宋体"/>
                <w:kern w:val="0"/>
                <w:szCs w:val="21"/>
              </w:rPr>
            </w:pPr>
          </w:p>
        </w:tc>
        <w:tc>
          <w:tcPr>
            <w:tcW w:w="1620" w:type="dxa"/>
            <w:vAlign w:val="center"/>
          </w:tcPr>
          <w:p>
            <w:pPr>
              <w:snapToGrid w:val="0"/>
              <w:rPr>
                <w:rFonts w:hAnsi="宋体"/>
                <w:sz w:val="18"/>
                <w:szCs w:val="18"/>
              </w:rPr>
            </w:pPr>
            <w:r>
              <w:rPr>
                <w:rFonts w:hint="eastAsia" w:hAnsi="宋体"/>
                <w:sz w:val="18"/>
                <w:szCs w:val="18"/>
              </w:rPr>
              <w:t>企业管理团队1分</w:t>
            </w:r>
          </w:p>
        </w:tc>
        <w:tc>
          <w:tcPr>
            <w:tcW w:w="4815" w:type="dxa"/>
            <w:vAlign w:val="center"/>
          </w:tcPr>
          <w:p>
            <w:pPr>
              <w:widowControl/>
              <w:snapToGrid w:val="0"/>
              <w:rPr>
                <w:rFonts w:hAnsi="宋体" w:cs="宋体"/>
                <w:kern w:val="0"/>
                <w:sz w:val="18"/>
                <w:szCs w:val="18"/>
              </w:rPr>
            </w:pPr>
            <w:r>
              <w:rPr>
                <w:rFonts w:hint="eastAsia" w:hAnsi="宋体" w:cs="宋体"/>
                <w:kern w:val="0"/>
                <w:sz w:val="18"/>
                <w:szCs w:val="18"/>
              </w:rPr>
              <w:t>企业应具备完善的管理制度和丰富的餐饮管理经验，诚信度高，安全意识强，管理团队稳定，经营高等学校食堂的员工人数应与其经营规模相适应。</w:t>
            </w:r>
          </w:p>
        </w:tc>
        <w:tc>
          <w:tcPr>
            <w:tcW w:w="855" w:type="dxa"/>
            <w:vAlign w:val="center"/>
          </w:tcPr>
          <w:p>
            <w:pPr>
              <w:snapToGrid w:val="0"/>
              <w:jc w:val="center"/>
              <w:rPr>
                <w:sz w:val="18"/>
                <w:szCs w:val="18"/>
              </w:rPr>
            </w:pPr>
            <w:r>
              <w:rPr>
                <w:rFonts w:hint="eastAsia"/>
                <w:sz w:val="18"/>
                <w:szCs w:val="18"/>
              </w:rPr>
              <w:t>1分</w:t>
            </w:r>
          </w:p>
        </w:tc>
        <w:tc>
          <w:tcPr>
            <w:tcW w:w="5378" w:type="dxa"/>
            <w:vAlign w:val="center"/>
          </w:tcPr>
          <w:p>
            <w:pPr>
              <w:widowControl/>
              <w:snapToGrid w:val="0"/>
              <w:rPr>
                <w:rFonts w:hAnsi="宋体" w:cs="宋体"/>
                <w:kern w:val="0"/>
                <w:sz w:val="18"/>
                <w:szCs w:val="18"/>
              </w:rPr>
            </w:pPr>
            <w:r>
              <w:rPr>
                <w:rFonts w:hint="eastAsia" w:hAnsi="宋体" w:cs="宋体"/>
                <w:kern w:val="0"/>
                <w:sz w:val="18"/>
                <w:szCs w:val="18"/>
              </w:rPr>
              <w:t>评委综合打分，0-1分。</w:t>
            </w:r>
          </w:p>
        </w:tc>
        <w:tc>
          <w:tcPr>
            <w:tcW w:w="696" w:type="dxa"/>
            <w:vAlign w:val="center"/>
          </w:tcPr>
          <w:p>
            <w:pPr>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1102" w:type="dxa"/>
            <w:vMerge w:val="continue"/>
            <w:vAlign w:val="center"/>
          </w:tcPr>
          <w:p>
            <w:pPr>
              <w:snapToGrid w:val="0"/>
              <w:rPr>
                <w:rFonts w:cs="宋体"/>
                <w:kern w:val="0"/>
                <w:szCs w:val="21"/>
              </w:rPr>
            </w:pPr>
          </w:p>
        </w:tc>
        <w:tc>
          <w:tcPr>
            <w:tcW w:w="1620" w:type="dxa"/>
            <w:vAlign w:val="center"/>
          </w:tcPr>
          <w:p>
            <w:pPr>
              <w:snapToGrid w:val="0"/>
              <w:rPr>
                <w:rFonts w:hAnsi="宋体"/>
                <w:sz w:val="18"/>
                <w:szCs w:val="18"/>
              </w:rPr>
            </w:pPr>
            <w:r>
              <w:rPr>
                <w:rFonts w:hint="eastAsia" w:hAnsi="宋体"/>
                <w:sz w:val="18"/>
                <w:szCs w:val="18"/>
              </w:rPr>
              <w:t>拟投入人员1分</w:t>
            </w:r>
          </w:p>
        </w:tc>
        <w:tc>
          <w:tcPr>
            <w:tcW w:w="4815" w:type="dxa"/>
            <w:vAlign w:val="center"/>
          </w:tcPr>
          <w:p>
            <w:pPr>
              <w:widowControl/>
              <w:snapToGrid w:val="0"/>
              <w:rPr>
                <w:rFonts w:hAnsi="宋体" w:cs="宋体"/>
                <w:kern w:val="0"/>
                <w:sz w:val="18"/>
                <w:szCs w:val="18"/>
              </w:rPr>
            </w:pPr>
            <w:r>
              <w:rPr>
                <w:rFonts w:hint="eastAsia" w:hAnsi="宋体" w:cs="宋体"/>
                <w:kern w:val="0"/>
                <w:sz w:val="18"/>
                <w:szCs w:val="18"/>
              </w:rPr>
              <w:t>拟投入项目成员应掌握有关食品安全、生产安全基本知识和相关法律法规要求，并具有食品药品监督管理部门授权的餐饮从业人员卫生知识培训机构培训合格和</w:t>
            </w:r>
            <w:r>
              <w:rPr>
                <w:rFonts w:hint="eastAsia" w:hAnsi="宋体" w:cs="宋体"/>
                <w:kern w:val="0"/>
                <w:sz w:val="18"/>
                <w:szCs w:val="18"/>
                <w:lang w:val="zh-CN"/>
              </w:rPr>
              <w:t>人员健康证。</w:t>
            </w:r>
          </w:p>
        </w:tc>
        <w:tc>
          <w:tcPr>
            <w:tcW w:w="855" w:type="dxa"/>
            <w:vAlign w:val="center"/>
          </w:tcPr>
          <w:p>
            <w:pPr>
              <w:snapToGrid w:val="0"/>
              <w:jc w:val="center"/>
              <w:rPr>
                <w:sz w:val="18"/>
                <w:szCs w:val="18"/>
              </w:rPr>
            </w:pPr>
            <w:r>
              <w:rPr>
                <w:rFonts w:hint="eastAsia"/>
                <w:sz w:val="18"/>
                <w:szCs w:val="18"/>
              </w:rPr>
              <w:t>1分</w:t>
            </w:r>
          </w:p>
        </w:tc>
        <w:tc>
          <w:tcPr>
            <w:tcW w:w="5378" w:type="dxa"/>
            <w:vAlign w:val="center"/>
          </w:tcPr>
          <w:p>
            <w:pPr>
              <w:widowControl/>
              <w:snapToGrid w:val="0"/>
              <w:rPr>
                <w:rFonts w:hAnsi="宋体" w:cs="宋体"/>
                <w:kern w:val="0"/>
                <w:sz w:val="18"/>
                <w:szCs w:val="18"/>
              </w:rPr>
            </w:pPr>
            <w:r>
              <w:rPr>
                <w:rFonts w:hint="eastAsia" w:hAnsi="宋体" w:cs="宋体"/>
                <w:kern w:val="0"/>
                <w:sz w:val="18"/>
                <w:szCs w:val="18"/>
              </w:rPr>
              <w:t>两证齐全的得1分，否则得0分。</w:t>
            </w:r>
          </w:p>
          <w:p>
            <w:pPr>
              <w:widowControl/>
              <w:snapToGrid w:val="0"/>
              <w:rPr>
                <w:rFonts w:hAnsi="宋体" w:cs="宋体"/>
                <w:kern w:val="0"/>
                <w:sz w:val="18"/>
                <w:szCs w:val="18"/>
              </w:rPr>
            </w:pPr>
          </w:p>
        </w:tc>
        <w:tc>
          <w:tcPr>
            <w:tcW w:w="696" w:type="dxa"/>
            <w:vAlign w:val="center"/>
          </w:tcPr>
          <w:p>
            <w:pPr>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2722" w:type="dxa"/>
            <w:gridSpan w:val="2"/>
            <w:vMerge w:val="restart"/>
            <w:vAlign w:val="center"/>
          </w:tcPr>
          <w:p>
            <w:pPr>
              <w:snapToGrid w:val="0"/>
              <w:rPr>
                <w:rFonts w:cs="宋体"/>
                <w:kern w:val="0"/>
                <w:szCs w:val="21"/>
              </w:rPr>
            </w:pPr>
            <w:r>
              <w:rPr>
                <w:rFonts w:hint="eastAsia" w:hAnsi="宋体" w:cs="宋体"/>
                <w:kern w:val="0"/>
                <w:szCs w:val="21"/>
              </w:rPr>
              <w:t>经营保障服务具体方案（</w:t>
            </w:r>
            <w:r>
              <w:rPr>
                <w:rFonts w:hint="eastAsia" w:cs="宋体"/>
                <w:kern w:val="0"/>
                <w:szCs w:val="21"/>
              </w:rPr>
              <w:t>40分）</w:t>
            </w:r>
          </w:p>
        </w:tc>
        <w:tc>
          <w:tcPr>
            <w:tcW w:w="4815" w:type="dxa"/>
            <w:vAlign w:val="center"/>
          </w:tcPr>
          <w:p>
            <w:pPr>
              <w:widowControl/>
              <w:snapToGrid w:val="0"/>
              <w:rPr>
                <w:rFonts w:hAnsi="宋体" w:cs="宋体"/>
                <w:kern w:val="0"/>
                <w:sz w:val="18"/>
                <w:szCs w:val="18"/>
              </w:rPr>
            </w:pPr>
            <w:r>
              <w:rPr>
                <w:rFonts w:hint="eastAsia" w:hAnsi="宋体" w:cs="宋体"/>
                <w:kern w:val="0"/>
                <w:sz w:val="18"/>
                <w:szCs w:val="18"/>
              </w:rPr>
              <w:t>总体经营目标、思路</w:t>
            </w:r>
          </w:p>
        </w:tc>
        <w:tc>
          <w:tcPr>
            <w:tcW w:w="855" w:type="dxa"/>
            <w:vAlign w:val="center"/>
          </w:tcPr>
          <w:p>
            <w:pPr>
              <w:widowControl/>
              <w:snapToGrid w:val="0"/>
              <w:rPr>
                <w:rFonts w:hAnsi="宋体" w:cs="宋体"/>
                <w:kern w:val="0"/>
                <w:sz w:val="18"/>
                <w:szCs w:val="18"/>
              </w:rPr>
            </w:pPr>
            <w:r>
              <w:rPr>
                <w:rFonts w:hint="eastAsia" w:hAnsi="宋体" w:cs="宋体"/>
                <w:kern w:val="0"/>
                <w:sz w:val="18"/>
                <w:szCs w:val="18"/>
              </w:rPr>
              <w:t>5分</w:t>
            </w:r>
          </w:p>
        </w:tc>
        <w:tc>
          <w:tcPr>
            <w:tcW w:w="5378" w:type="dxa"/>
            <w:vAlign w:val="center"/>
          </w:tcPr>
          <w:p>
            <w:pPr>
              <w:widowControl/>
              <w:snapToGrid w:val="0"/>
              <w:rPr>
                <w:rFonts w:hAnsi="宋体" w:cs="宋体"/>
                <w:kern w:val="0"/>
                <w:sz w:val="18"/>
                <w:szCs w:val="18"/>
              </w:rPr>
            </w:pPr>
            <w:r>
              <w:rPr>
                <w:rFonts w:hint="eastAsia" w:hAnsi="宋体" w:cs="宋体"/>
                <w:kern w:val="0"/>
                <w:sz w:val="18"/>
                <w:szCs w:val="18"/>
              </w:rPr>
              <w:t>了解高校办伙特点，能够从服务对象实际出发，把社会效益放在第一位，坚持社会效益和经济效益并重，评委根据其可行性和合理性综合打分，2-5分。</w:t>
            </w:r>
          </w:p>
        </w:tc>
        <w:tc>
          <w:tcPr>
            <w:tcW w:w="696" w:type="dxa"/>
            <w:vAlign w:val="center"/>
          </w:tcPr>
          <w:p>
            <w:pPr>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722" w:type="dxa"/>
            <w:gridSpan w:val="2"/>
            <w:vMerge w:val="continue"/>
            <w:vAlign w:val="center"/>
          </w:tcPr>
          <w:p>
            <w:pPr>
              <w:snapToGrid w:val="0"/>
              <w:rPr>
                <w:rFonts w:cs="宋体"/>
                <w:kern w:val="0"/>
                <w:szCs w:val="21"/>
              </w:rPr>
            </w:pPr>
          </w:p>
        </w:tc>
        <w:tc>
          <w:tcPr>
            <w:tcW w:w="4815" w:type="dxa"/>
            <w:vAlign w:val="center"/>
          </w:tcPr>
          <w:p>
            <w:pPr>
              <w:widowControl/>
              <w:snapToGrid w:val="0"/>
              <w:rPr>
                <w:rFonts w:hAnsi="宋体" w:cs="宋体"/>
                <w:kern w:val="0"/>
                <w:sz w:val="18"/>
                <w:szCs w:val="18"/>
              </w:rPr>
            </w:pPr>
            <w:r>
              <w:rPr>
                <w:rFonts w:hint="eastAsia" w:hAnsi="宋体" w:cs="宋体"/>
                <w:kern w:val="0"/>
                <w:sz w:val="18"/>
                <w:szCs w:val="18"/>
              </w:rPr>
              <w:t>具体经营方案</w:t>
            </w:r>
          </w:p>
        </w:tc>
        <w:tc>
          <w:tcPr>
            <w:tcW w:w="855" w:type="dxa"/>
            <w:vAlign w:val="center"/>
          </w:tcPr>
          <w:p>
            <w:pPr>
              <w:widowControl/>
              <w:snapToGrid w:val="0"/>
              <w:rPr>
                <w:rFonts w:hAnsi="宋体" w:cs="宋体"/>
                <w:kern w:val="0"/>
                <w:sz w:val="18"/>
                <w:szCs w:val="18"/>
              </w:rPr>
            </w:pPr>
            <w:r>
              <w:rPr>
                <w:rFonts w:hint="eastAsia" w:hAnsi="宋体" w:cs="宋体"/>
                <w:kern w:val="0"/>
                <w:sz w:val="18"/>
                <w:szCs w:val="18"/>
              </w:rPr>
              <w:t>10分</w:t>
            </w:r>
          </w:p>
        </w:tc>
        <w:tc>
          <w:tcPr>
            <w:tcW w:w="5378" w:type="dxa"/>
            <w:vAlign w:val="center"/>
          </w:tcPr>
          <w:p>
            <w:pPr>
              <w:widowControl/>
              <w:snapToGrid w:val="0"/>
              <w:rPr>
                <w:rFonts w:hAnsi="宋体" w:cs="宋体"/>
                <w:kern w:val="0"/>
                <w:sz w:val="18"/>
                <w:szCs w:val="18"/>
              </w:rPr>
            </w:pPr>
            <w:r>
              <w:rPr>
                <w:rFonts w:hint="eastAsia" w:hAnsi="宋体" w:cs="宋体"/>
                <w:kern w:val="0"/>
                <w:sz w:val="18"/>
                <w:szCs w:val="18"/>
              </w:rPr>
              <w:t>经营方案合理，思路清晰。符合学校学生食堂办伙方针；供应主副食品品种丰富；食品价格公道，高中低档菜肴比例合适。评委根据其可行性和合理性综合打分，5-10。</w:t>
            </w:r>
          </w:p>
        </w:tc>
        <w:tc>
          <w:tcPr>
            <w:tcW w:w="696" w:type="dxa"/>
            <w:vAlign w:val="center"/>
          </w:tcPr>
          <w:p>
            <w:pPr>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722" w:type="dxa"/>
            <w:gridSpan w:val="2"/>
            <w:vMerge w:val="continue"/>
            <w:vAlign w:val="center"/>
          </w:tcPr>
          <w:p>
            <w:pPr>
              <w:snapToGrid w:val="0"/>
              <w:rPr>
                <w:rFonts w:cs="宋体"/>
                <w:kern w:val="0"/>
                <w:szCs w:val="21"/>
              </w:rPr>
            </w:pPr>
          </w:p>
        </w:tc>
        <w:tc>
          <w:tcPr>
            <w:tcW w:w="4815" w:type="dxa"/>
            <w:vAlign w:val="center"/>
          </w:tcPr>
          <w:p>
            <w:pPr>
              <w:widowControl/>
              <w:snapToGrid w:val="0"/>
              <w:rPr>
                <w:rFonts w:hAnsi="宋体" w:cs="宋体"/>
                <w:kern w:val="0"/>
                <w:sz w:val="18"/>
                <w:szCs w:val="18"/>
              </w:rPr>
            </w:pPr>
            <w:r>
              <w:rPr>
                <w:rFonts w:hint="eastAsia" w:hAnsi="宋体" w:cs="宋体"/>
                <w:kern w:val="0"/>
                <w:sz w:val="18"/>
                <w:szCs w:val="18"/>
              </w:rPr>
              <w:t>投标单位有合理化投资方案</w:t>
            </w:r>
          </w:p>
        </w:tc>
        <w:tc>
          <w:tcPr>
            <w:tcW w:w="855" w:type="dxa"/>
            <w:vAlign w:val="center"/>
          </w:tcPr>
          <w:p>
            <w:pPr>
              <w:widowControl/>
              <w:snapToGrid w:val="0"/>
              <w:rPr>
                <w:rFonts w:hAnsi="宋体" w:cs="宋体"/>
                <w:kern w:val="0"/>
                <w:sz w:val="18"/>
                <w:szCs w:val="18"/>
              </w:rPr>
            </w:pPr>
            <w:r>
              <w:rPr>
                <w:rFonts w:hint="eastAsia" w:hAnsi="宋体" w:cs="宋体"/>
                <w:kern w:val="0"/>
                <w:sz w:val="18"/>
                <w:szCs w:val="18"/>
              </w:rPr>
              <w:t>5分</w:t>
            </w:r>
          </w:p>
        </w:tc>
        <w:tc>
          <w:tcPr>
            <w:tcW w:w="5378" w:type="dxa"/>
            <w:vAlign w:val="center"/>
          </w:tcPr>
          <w:p>
            <w:pPr>
              <w:widowControl/>
              <w:snapToGrid w:val="0"/>
              <w:rPr>
                <w:rFonts w:hAnsi="宋体" w:cs="宋体"/>
                <w:kern w:val="0"/>
                <w:sz w:val="18"/>
                <w:szCs w:val="18"/>
              </w:rPr>
            </w:pPr>
            <w:r>
              <w:rPr>
                <w:rFonts w:hint="eastAsia" w:hAnsi="宋体" w:cs="宋体"/>
                <w:kern w:val="0"/>
                <w:sz w:val="18"/>
                <w:szCs w:val="18"/>
              </w:rPr>
              <w:t>根据投资金额数和方案的科学、合理性程度进行打分，2-5分。</w:t>
            </w:r>
          </w:p>
        </w:tc>
        <w:tc>
          <w:tcPr>
            <w:tcW w:w="696" w:type="dxa"/>
            <w:vAlign w:val="center"/>
          </w:tcPr>
          <w:p>
            <w:pPr>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722" w:type="dxa"/>
            <w:gridSpan w:val="2"/>
            <w:vMerge w:val="continue"/>
            <w:vAlign w:val="center"/>
          </w:tcPr>
          <w:p>
            <w:pPr>
              <w:snapToGrid w:val="0"/>
              <w:rPr>
                <w:rFonts w:cs="宋体"/>
                <w:kern w:val="0"/>
                <w:szCs w:val="21"/>
              </w:rPr>
            </w:pPr>
          </w:p>
        </w:tc>
        <w:tc>
          <w:tcPr>
            <w:tcW w:w="4815" w:type="dxa"/>
            <w:vAlign w:val="center"/>
          </w:tcPr>
          <w:p>
            <w:pPr>
              <w:widowControl/>
              <w:snapToGrid w:val="0"/>
              <w:rPr>
                <w:rFonts w:hAnsi="宋体" w:cs="宋体"/>
                <w:kern w:val="0"/>
                <w:sz w:val="18"/>
                <w:szCs w:val="18"/>
              </w:rPr>
            </w:pPr>
            <w:r>
              <w:rPr>
                <w:rFonts w:hint="eastAsia" w:hAnsi="宋体" w:cs="宋体"/>
                <w:kern w:val="0"/>
                <w:sz w:val="18"/>
                <w:szCs w:val="18"/>
              </w:rPr>
              <w:t>管理措施、制度等</w:t>
            </w:r>
          </w:p>
        </w:tc>
        <w:tc>
          <w:tcPr>
            <w:tcW w:w="855" w:type="dxa"/>
            <w:vAlign w:val="center"/>
          </w:tcPr>
          <w:p>
            <w:pPr>
              <w:widowControl/>
              <w:snapToGrid w:val="0"/>
              <w:rPr>
                <w:rFonts w:hAnsi="宋体" w:cs="宋体"/>
                <w:kern w:val="0"/>
                <w:sz w:val="18"/>
                <w:szCs w:val="18"/>
              </w:rPr>
            </w:pPr>
            <w:r>
              <w:rPr>
                <w:rFonts w:hint="eastAsia" w:hAnsi="宋体" w:cs="宋体"/>
                <w:kern w:val="0"/>
                <w:sz w:val="18"/>
                <w:szCs w:val="18"/>
              </w:rPr>
              <w:t>5分</w:t>
            </w:r>
          </w:p>
        </w:tc>
        <w:tc>
          <w:tcPr>
            <w:tcW w:w="5378" w:type="dxa"/>
            <w:vAlign w:val="center"/>
          </w:tcPr>
          <w:p>
            <w:pPr>
              <w:widowControl/>
              <w:snapToGrid w:val="0"/>
              <w:rPr>
                <w:rFonts w:hAnsi="宋体" w:cs="宋体"/>
                <w:kern w:val="0"/>
                <w:sz w:val="18"/>
                <w:szCs w:val="18"/>
              </w:rPr>
            </w:pPr>
            <w:r>
              <w:rPr>
                <w:rFonts w:hint="eastAsia" w:hAnsi="宋体" w:cs="宋体"/>
                <w:kern w:val="0"/>
                <w:sz w:val="18"/>
                <w:szCs w:val="18"/>
              </w:rPr>
              <w:t>能够按《食品安全法》和学校各项规定制定相关管理制度，评委根据制定的制度科学、合理和可操作性进行综合打分，2-5分。</w:t>
            </w:r>
          </w:p>
        </w:tc>
        <w:tc>
          <w:tcPr>
            <w:tcW w:w="696" w:type="dxa"/>
            <w:vAlign w:val="center"/>
          </w:tcPr>
          <w:p>
            <w:pPr>
              <w:snapToGrid w:val="0"/>
              <w:rPr>
                <w:szCs w:val="21"/>
              </w:rPr>
            </w:pPr>
          </w:p>
        </w:tc>
      </w:tr>
      <w:tr>
        <w:tblPrEx>
          <w:tblLayout w:type="fixed"/>
          <w:tblCellMar>
            <w:top w:w="0" w:type="dxa"/>
            <w:left w:w="108" w:type="dxa"/>
            <w:bottom w:w="0" w:type="dxa"/>
            <w:right w:w="108" w:type="dxa"/>
          </w:tblCellMar>
        </w:tblPrEx>
        <w:trPr>
          <w:trHeight w:val="20" w:hRule="atLeast"/>
        </w:trPr>
        <w:tc>
          <w:tcPr>
            <w:tcW w:w="2722" w:type="dxa"/>
            <w:gridSpan w:val="2"/>
            <w:vMerge w:val="continue"/>
            <w:vAlign w:val="center"/>
          </w:tcPr>
          <w:p>
            <w:pPr>
              <w:snapToGrid w:val="0"/>
              <w:rPr>
                <w:rFonts w:cs="宋体"/>
                <w:kern w:val="0"/>
                <w:szCs w:val="21"/>
              </w:rPr>
            </w:pPr>
          </w:p>
        </w:tc>
        <w:tc>
          <w:tcPr>
            <w:tcW w:w="4815" w:type="dxa"/>
            <w:vAlign w:val="center"/>
          </w:tcPr>
          <w:p>
            <w:pPr>
              <w:widowControl/>
              <w:snapToGrid w:val="0"/>
              <w:rPr>
                <w:rFonts w:hAnsi="宋体" w:cs="宋体"/>
                <w:kern w:val="0"/>
                <w:sz w:val="18"/>
                <w:szCs w:val="18"/>
              </w:rPr>
            </w:pPr>
            <w:r>
              <w:rPr>
                <w:rFonts w:hint="eastAsia" w:hAnsi="宋体" w:cs="宋体"/>
                <w:kern w:val="0"/>
                <w:sz w:val="18"/>
                <w:szCs w:val="18"/>
              </w:rPr>
              <w:t>到校经营团队组织构成和人员素质</w:t>
            </w:r>
          </w:p>
        </w:tc>
        <w:tc>
          <w:tcPr>
            <w:tcW w:w="855" w:type="dxa"/>
            <w:vAlign w:val="center"/>
          </w:tcPr>
          <w:p>
            <w:pPr>
              <w:widowControl/>
              <w:snapToGrid w:val="0"/>
              <w:rPr>
                <w:rFonts w:hAnsi="宋体" w:cs="宋体"/>
                <w:kern w:val="0"/>
                <w:sz w:val="18"/>
                <w:szCs w:val="18"/>
              </w:rPr>
            </w:pPr>
            <w:r>
              <w:rPr>
                <w:rFonts w:hint="eastAsia" w:hAnsi="宋体" w:cs="宋体"/>
                <w:kern w:val="0"/>
                <w:sz w:val="18"/>
                <w:szCs w:val="18"/>
              </w:rPr>
              <w:t>5分</w:t>
            </w:r>
          </w:p>
        </w:tc>
        <w:tc>
          <w:tcPr>
            <w:tcW w:w="5378" w:type="dxa"/>
            <w:vAlign w:val="center"/>
          </w:tcPr>
          <w:p>
            <w:pPr>
              <w:widowControl/>
              <w:snapToGrid w:val="0"/>
              <w:rPr>
                <w:rFonts w:hAnsi="宋体" w:cs="宋体"/>
                <w:kern w:val="0"/>
                <w:sz w:val="18"/>
                <w:szCs w:val="18"/>
              </w:rPr>
            </w:pPr>
            <w:r>
              <w:rPr>
                <w:rFonts w:hint="eastAsia" w:hAnsi="宋体" w:cs="宋体"/>
                <w:kern w:val="0"/>
                <w:sz w:val="18"/>
                <w:szCs w:val="18"/>
              </w:rPr>
              <w:t>人员配备、岗位设置合理2分。高级烹饪师厨师证的，每提供一个得0.5分，最高2分。中级烹饪师证的，每提供一个得0.5分，最高1分。总分5分.</w:t>
            </w:r>
          </w:p>
        </w:tc>
        <w:tc>
          <w:tcPr>
            <w:tcW w:w="696" w:type="dxa"/>
            <w:vAlign w:val="center"/>
          </w:tcPr>
          <w:p>
            <w:pPr>
              <w:snapToGrid w:val="0"/>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722" w:type="dxa"/>
            <w:gridSpan w:val="2"/>
            <w:vMerge w:val="continue"/>
            <w:vAlign w:val="center"/>
          </w:tcPr>
          <w:p>
            <w:pPr>
              <w:snapToGrid w:val="0"/>
              <w:rPr>
                <w:rFonts w:cs="宋体"/>
                <w:kern w:val="0"/>
                <w:szCs w:val="21"/>
              </w:rPr>
            </w:pPr>
          </w:p>
        </w:tc>
        <w:tc>
          <w:tcPr>
            <w:tcW w:w="4815" w:type="dxa"/>
            <w:vAlign w:val="center"/>
          </w:tcPr>
          <w:p>
            <w:pPr>
              <w:widowControl/>
              <w:snapToGrid w:val="0"/>
              <w:rPr>
                <w:rFonts w:hAnsi="宋体" w:cs="宋体"/>
                <w:kern w:val="0"/>
                <w:sz w:val="18"/>
                <w:szCs w:val="18"/>
              </w:rPr>
            </w:pPr>
            <w:r>
              <w:rPr>
                <w:rFonts w:hint="eastAsia" w:hAnsi="宋体" w:cs="宋体"/>
                <w:kern w:val="0"/>
                <w:sz w:val="18"/>
                <w:szCs w:val="18"/>
              </w:rPr>
              <w:t>有关承诺与应急预案</w:t>
            </w:r>
          </w:p>
        </w:tc>
        <w:tc>
          <w:tcPr>
            <w:tcW w:w="855" w:type="dxa"/>
            <w:vAlign w:val="center"/>
          </w:tcPr>
          <w:p>
            <w:pPr>
              <w:widowControl/>
              <w:snapToGrid w:val="0"/>
              <w:rPr>
                <w:rFonts w:hAnsi="宋体" w:cs="宋体"/>
                <w:kern w:val="0"/>
                <w:sz w:val="18"/>
                <w:szCs w:val="18"/>
              </w:rPr>
            </w:pPr>
            <w:r>
              <w:rPr>
                <w:rFonts w:hint="eastAsia" w:hAnsi="宋体" w:cs="宋体"/>
                <w:kern w:val="0"/>
                <w:sz w:val="18"/>
                <w:szCs w:val="18"/>
              </w:rPr>
              <w:t>5分</w:t>
            </w:r>
          </w:p>
        </w:tc>
        <w:tc>
          <w:tcPr>
            <w:tcW w:w="5378" w:type="dxa"/>
            <w:vAlign w:val="center"/>
          </w:tcPr>
          <w:p>
            <w:pPr>
              <w:widowControl/>
              <w:snapToGrid w:val="0"/>
              <w:rPr>
                <w:rFonts w:hAnsi="宋体" w:cs="宋体"/>
                <w:kern w:val="0"/>
                <w:sz w:val="18"/>
                <w:szCs w:val="18"/>
              </w:rPr>
            </w:pPr>
            <w:r>
              <w:rPr>
                <w:rFonts w:hint="eastAsia" w:hAnsi="宋体" w:cs="宋体"/>
                <w:kern w:val="0"/>
                <w:sz w:val="18"/>
                <w:szCs w:val="18"/>
              </w:rPr>
              <w:t>拟经营本项目食堂中的各项自我承诺；有停水、停电、食物中毒等应急预案等。评委根据其可行性和合理性综合打分，2-5分。</w:t>
            </w:r>
          </w:p>
        </w:tc>
        <w:tc>
          <w:tcPr>
            <w:tcW w:w="696" w:type="dxa"/>
            <w:vAlign w:val="center"/>
          </w:tcPr>
          <w:p>
            <w:pPr>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2722" w:type="dxa"/>
            <w:gridSpan w:val="2"/>
            <w:vMerge w:val="continue"/>
            <w:vAlign w:val="center"/>
          </w:tcPr>
          <w:p>
            <w:pPr>
              <w:snapToGrid w:val="0"/>
              <w:rPr>
                <w:rFonts w:cs="宋体"/>
                <w:kern w:val="0"/>
                <w:szCs w:val="21"/>
              </w:rPr>
            </w:pPr>
          </w:p>
        </w:tc>
        <w:tc>
          <w:tcPr>
            <w:tcW w:w="4815" w:type="dxa"/>
            <w:vAlign w:val="center"/>
          </w:tcPr>
          <w:p>
            <w:pPr>
              <w:widowControl/>
              <w:snapToGrid w:val="0"/>
              <w:rPr>
                <w:rFonts w:hAnsi="宋体" w:cs="宋体"/>
                <w:kern w:val="0"/>
                <w:sz w:val="18"/>
                <w:szCs w:val="18"/>
              </w:rPr>
            </w:pPr>
            <w:r>
              <w:rPr>
                <w:rFonts w:hint="eastAsia" w:hAnsi="宋体" w:cs="宋体"/>
                <w:kern w:val="0"/>
                <w:sz w:val="18"/>
                <w:szCs w:val="18"/>
              </w:rPr>
              <w:t>企业经营特色或创新</w:t>
            </w:r>
          </w:p>
        </w:tc>
        <w:tc>
          <w:tcPr>
            <w:tcW w:w="855" w:type="dxa"/>
            <w:vAlign w:val="center"/>
          </w:tcPr>
          <w:p>
            <w:pPr>
              <w:widowControl/>
              <w:snapToGrid w:val="0"/>
              <w:rPr>
                <w:rFonts w:hAnsi="宋体" w:cs="宋体"/>
                <w:kern w:val="0"/>
                <w:sz w:val="18"/>
                <w:szCs w:val="18"/>
              </w:rPr>
            </w:pPr>
            <w:r>
              <w:rPr>
                <w:rFonts w:hint="eastAsia" w:hAnsi="宋体" w:cs="宋体"/>
                <w:kern w:val="0"/>
                <w:sz w:val="18"/>
                <w:szCs w:val="18"/>
              </w:rPr>
              <w:t>5分</w:t>
            </w:r>
          </w:p>
        </w:tc>
        <w:tc>
          <w:tcPr>
            <w:tcW w:w="5378" w:type="dxa"/>
            <w:vAlign w:val="center"/>
          </w:tcPr>
          <w:p>
            <w:pPr>
              <w:widowControl/>
              <w:snapToGrid w:val="0"/>
              <w:rPr>
                <w:rFonts w:hAnsi="宋体" w:cs="宋体"/>
                <w:kern w:val="0"/>
                <w:sz w:val="18"/>
                <w:szCs w:val="18"/>
              </w:rPr>
            </w:pPr>
            <w:r>
              <w:rPr>
                <w:rFonts w:hint="eastAsia" w:hAnsi="宋体" w:cs="宋体"/>
                <w:kern w:val="0"/>
                <w:sz w:val="18"/>
                <w:szCs w:val="18"/>
              </w:rPr>
              <w:t>对本项目在餐饮服务等方面是否有特色和创新点进行评分，0-5分。</w:t>
            </w:r>
          </w:p>
        </w:tc>
        <w:tc>
          <w:tcPr>
            <w:tcW w:w="696" w:type="dxa"/>
            <w:vAlign w:val="center"/>
          </w:tcPr>
          <w:p>
            <w:pPr>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4" w:hRule="atLeast"/>
        </w:trPr>
        <w:tc>
          <w:tcPr>
            <w:tcW w:w="2722" w:type="dxa"/>
            <w:gridSpan w:val="2"/>
            <w:vAlign w:val="center"/>
          </w:tcPr>
          <w:p>
            <w:pPr>
              <w:snapToGrid w:val="0"/>
              <w:rPr>
                <w:rFonts w:hAnsi="宋体" w:cs="宋体"/>
                <w:kern w:val="0"/>
                <w:szCs w:val="21"/>
              </w:rPr>
            </w:pPr>
            <w:r>
              <w:rPr>
                <w:rFonts w:hint="eastAsia" w:hAnsi="宋体" w:cs="宋体"/>
                <w:kern w:val="0"/>
                <w:szCs w:val="21"/>
              </w:rPr>
              <w:t>装饰装修方案（25分）</w:t>
            </w:r>
          </w:p>
        </w:tc>
        <w:tc>
          <w:tcPr>
            <w:tcW w:w="4815" w:type="dxa"/>
            <w:vAlign w:val="center"/>
          </w:tcPr>
          <w:p>
            <w:pPr>
              <w:widowControl/>
              <w:snapToGrid w:val="0"/>
              <w:rPr>
                <w:rFonts w:hAnsi="宋体" w:cs="宋体"/>
                <w:kern w:val="0"/>
                <w:sz w:val="18"/>
                <w:szCs w:val="18"/>
              </w:rPr>
            </w:pPr>
            <w:r>
              <w:rPr>
                <w:rFonts w:hint="eastAsia" w:hAnsi="宋体" w:cs="宋体"/>
                <w:kern w:val="0"/>
                <w:sz w:val="18"/>
                <w:szCs w:val="18"/>
              </w:rPr>
              <w:t>装饰装修设计方案，设计说明中应有功能性描述、主辅材及施工工艺，设计图、效果图等</w:t>
            </w:r>
          </w:p>
        </w:tc>
        <w:tc>
          <w:tcPr>
            <w:tcW w:w="855" w:type="dxa"/>
            <w:vAlign w:val="center"/>
          </w:tcPr>
          <w:p>
            <w:pPr>
              <w:widowControl/>
              <w:snapToGrid w:val="0"/>
              <w:rPr>
                <w:rFonts w:hAnsi="宋体" w:cs="宋体"/>
                <w:kern w:val="0"/>
                <w:sz w:val="18"/>
                <w:szCs w:val="18"/>
              </w:rPr>
            </w:pPr>
            <w:r>
              <w:rPr>
                <w:rFonts w:hint="eastAsia" w:hAnsi="宋体" w:cs="宋体"/>
                <w:kern w:val="0"/>
                <w:sz w:val="18"/>
                <w:szCs w:val="18"/>
              </w:rPr>
              <w:t>25分</w:t>
            </w:r>
          </w:p>
        </w:tc>
        <w:tc>
          <w:tcPr>
            <w:tcW w:w="5378" w:type="dxa"/>
            <w:vAlign w:val="center"/>
          </w:tcPr>
          <w:p>
            <w:pPr>
              <w:widowControl/>
              <w:snapToGrid w:val="0"/>
              <w:rPr>
                <w:rFonts w:hAnsi="宋体" w:cs="宋体"/>
                <w:kern w:val="0"/>
                <w:sz w:val="18"/>
                <w:szCs w:val="18"/>
              </w:rPr>
            </w:pPr>
            <w:r>
              <w:rPr>
                <w:rFonts w:hint="eastAsia" w:hAnsi="宋体" w:cs="宋体"/>
                <w:kern w:val="0"/>
                <w:sz w:val="18"/>
                <w:szCs w:val="18"/>
              </w:rPr>
              <w:t>食堂室内外装饰装修设计方案科学合理，设计说明中应有功能性描述；主辅材的选用要节能、环保，符合国家消防规范；施工工艺、施工组织设计科学和规范；有设计图、效果图等；功能定位准确、色彩搭配和谐、配套设备清单清晰、准确，装饰装修和设备预算科学合理。评委根据其可行性和合理性综合打分，10-25分。</w:t>
            </w:r>
          </w:p>
        </w:tc>
        <w:tc>
          <w:tcPr>
            <w:tcW w:w="696" w:type="dxa"/>
            <w:vAlign w:val="center"/>
          </w:tcPr>
          <w:p>
            <w:pPr>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trPr>
        <w:tc>
          <w:tcPr>
            <w:tcW w:w="2722" w:type="dxa"/>
            <w:gridSpan w:val="2"/>
            <w:vAlign w:val="center"/>
          </w:tcPr>
          <w:p>
            <w:pPr>
              <w:snapToGrid w:val="0"/>
              <w:rPr>
                <w:rFonts w:hAnsi="宋体" w:cs="宋体"/>
                <w:kern w:val="0"/>
                <w:szCs w:val="21"/>
              </w:rPr>
            </w:pPr>
            <w:r>
              <w:rPr>
                <w:rFonts w:hint="eastAsia" w:hAnsi="宋体" w:cs="宋体"/>
                <w:kern w:val="0"/>
                <w:szCs w:val="21"/>
              </w:rPr>
              <w:t>现场答辩（5分）</w:t>
            </w:r>
          </w:p>
        </w:tc>
        <w:tc>
          <w:tcPr>
            <w:tcW w:w="4815" w:type="dxa"/>
            <w:vAlign w:val="center"/>
          </w:tcPr>
          <w:p>
            <w:pPr>
              <w:widowControl/>
              <w:snapToGrid w:val="0"/>
              <w:rPr>
                <w:rFonts w:hAnsi="宋体" w:cs="宋体"/>
                <w:kern w:val="0"/>
                <w:sz w:val="18"/>
                <w:szCs w:val="18"/>
              </w:rPr>
            </w:pPr>
            <w:r>
              <w:rPr>
                <w:rFonts w:hint="eastAsia" w:hAnsi="宋体" w:cs="宋体"/>
                <w:kern w:val="0"/>
                <w:sz w:val="18"/>
                <w:szCs w:val="18"/>
              </w:rPr>
              <w:t>答辩内容含食品安全、经营保障服务方案、装饰装修方案等相关知识</w:t>
            </w:r>
          </w:p>
        </w:tc>
        <w:tc>
          <w:tcPr>
            <w:tcW w:w="855" w:type="dxa"/>
            <w:vAlign w:val="center"/>
          </w:tcPr>
          <w:p>
            <w:pPr>
              <w:widowControl/>
              <w:snapToGrid w:val="0"/>
              <w:rPr>
                <w:rFonts w:hAnsi="宋体" w:cs="宋体"/>
                <w:kern w:val="0"/>
                <w:sz w:val="18"/>
                <w:szCs w:val="18"/>
              </w:rPr>
            </w:pPr>
            <w:r>
              <w:rPr>
                <w:rFonts w:hint="eastAsia" w:hAnsi="宋体" w:cs="宋体"/>
                <w:kern w:val="0"/>
                <w:sz w:val="18"/>
                <w:szCs w:val="18"/>
              </w:rPr>
              <w:t>5分</w:t>
            </w:r>
          </w:p>
        </w:tc>
        <w:tc>
          <w:tcPr>
            <w:tcW w:w="5378" w:type="dxa"/>
            <w:vAlign w:val="center"/>
          </w:tcPr>
          <w:p>
            <w:pPr>
              <w:widowControl/>
              <w:snapToGrid w:val="0"/>
              <w:rPr>
                <w:rFonts w:hAnsi="宋体" w:cs="宋体"/>
                <w:kern w:val="0"/>
                <w:sz w:val="18"/>
                <w:szCs w:val="18"/>
              </w:rPr>
            </w:pPr>
            <w:r>
              <w:rPr>
                <w:rFonts w:hint="eastAsia" w:hAnsi="宋体" w:cs="宋体"/>
                <w:kern w:val="0"/>
                <w:sz w:val="18"/>
                <w:szCs w:val="18"/>
              </w:rPr>
              <w:t>答辩约10分钟。答辩人员必须是本项目的项目经理。提供近与工作年限等长的社保证明。投标人需要制作PPT，就经营保障服务方案和装饰装修方案进行详细介绍。</w:t>
            </w:r>
          </w:p>
        </w:tc>
        <w:tc>
          <w:tcPr>
            <w:tcW w:w="696" w:type="dxa"/>
            <w:vAlign w:val="center"/>
          </w:tcPr>
          <w:p>
            <w:pPr>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2722" w:type="dxa"/>
            <w:gridSpan w:val="2"/>
            <w:vAlign w:val="center"/>
          </w:tcPr>
          <w:p>
            <w:pPr>
              <w:snapToGrid w:val="0"/>
              <w:rPr>
                <w:rFonts w:hAnsi="宋体" w:cs="宋体"/>
                <w:kern w:val="0"/>
                <w:szCs w:val="21"/>
              </w:rPr>
            </w:pPr>
            <w:r>
              <w:rPr>
                <w:rFonts w:hint="eastAsia" w:hAnsi="宋体" w:cs="宋体"/>
                <w:kern w:val="0"/>
                <w:szCs w:val="21"/>
              </w:rPr>
              <w:t xml:space="preserve">    得 分</w:t>
            </w:r>
          </w:p>
        </w:tc>
        <w:tc>
          <w:tcPr>
            <w:tcW w:w="11744" w:type="dxa"/>
            <w:gridSpan w:val="4"/>
            <w:vAlign w:val="center"/>
          </w:tcPr>
          <w:p>
            <w:pPr>
              <w:snapToGrid w:val="0"/>
              <w:rPr>
                <w:szCs w:val="21"/>
              </w:rPr>
            </w:pPr>
          </w:p>
        </w:tc>
      </w:tr>
    </w:tbl>
    <w:p/>
    <w:p/>
    <w:sectPr>
      <w:pgSz w:w="16838" w:h="11906" w:orient="landscape"/>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D39"/>
    <w:rsid w:val="0000694B"/>
    <w:rsid w:val="00083A77"/>
    <w:rsid w:val="00094023"/>
    <w:rsid w:val="000A5D6C"/>
    <w:rsid w:val="000B0A17"/>
    <w:rsid w:val="000E012F"/>
    <w:rsid w:val="00172E61"/>
    <w:rsid w:val="001A6F98"/>
    <w:rsid w:val="001C1B36"/>
    <w:rsid w:val="001D3038"/>
    <w:rsid w:val="0021746E"/>
    <w:rsid w:val="002428CF"/>
    <w:rsid w:val="00254316"/>
    <w:rsid w:val="00277FC0"/>
    <w:rsid w:val="002F43CB"/>
    <w:rsid w:val="00330156"/>
    <w:rsid w:val="003625F6"/>
    <w:rsid w:val="00392254"/>
    <w:rsid w:val="004556DA"/>
    <w:rsid w:val="004C71F0"/>
    <w:rsid w:val="004D442F"/>
    <w:rsid w:val="00512B34"/>
    <w:rsid w:val="005251E1"/>
    <w:rsid w:val="0054057E"/>
    <w:rsid w:val="0061018D"/>
    <w:rsid w:val="0068355C"/>
    <w:rsid w:val="00696FE2"/>
    <w:rsid w:val="006A7CEE"/>
    <w:rsid w:val="006D4EBE"/>
    <w:rsid w:val="0073326A"/>
    <w:rsid w:val="007378E2"/>
    <w:rsid w:val="007D35B1"/>
    <w:rsid w:val="007F2353"/>
    <w:rsid w:val="00822F79"/>
    <w:rsid w:val="00832504"/>
    <w:rsid w:val="009B291B"/>
    <w:rsid w:val="009D53C7"/>
    <w:rsid w:val="00A10858"/>
    <w:rsid w:val="00A23421"/>
    <w:rsid w:val="00A44502"/>
    <w:rsid w:val="00A76D6F"/>
    <w:rsid w:val="00B148E3"/>
    <w:rsid w:val="00B44AF2"/>
    <w:rsid w:val="00B46705"/>
    <w:rsid w:val="00B62A43"/>
    <w:rsid w:val="00B713F2"/>
    <w:rsid w:val="00B851C7"/>
    <w:rsid w:val="00BE33CA"/>
    <w:rsid w:val="00BF5820"/>
    <w:rsid w:val="00C15B55"/>
    <w:rsid w:val="00C44C38"/>
    <w:rsid w:val="00C72F74"/>
    <w:rsid w:val="00C76791"/>
    <w:rsid w:val="00D12595"/>
    <w:rsid w:val="00D12615"/>
    <w:rsid w:val="00D376AD"/>
    <w:rsid w:val="00D64D39"/>
    <w:rsid w:val="00DA69C5"/>
    <w:rsid w:val="00E05FED"/>
    <w:rsid w:val="00E53F77"/>
    <w:rsid w:val="00ED0CB2"/>
    <w:rsid w:val="00F43BC4"/>
    <w:rsid w:val="00F757EF"/>
    <w:rsid w:val="00F93E11"/>
    <w:rsid w:val="00FC48EE"/>
    <w:rsid w:val="00FE532E"/>
    <w:rsid w:val="011D5198"/>
    <w:rsid w:val="03220AD8"/>
    <w:rsid w:val="03BB4185"/>
    <w:rsid w:val="074F68FF"/>
    <w:rsid w:val="07F70C23"/>
    <w:rsid w:val="09E1070D"/>
    <w:rsid w:val="0D952514"/>
    <w:rsid w:val="118F005A"/>
    <w:rsid w:val="165715ED"/>
    <w:rsid w:val="1DE854B8"/>
    <w:rsid w:val="1F3B0825"/>
    <w:rsid w:val="232548E1"/>
    <w:rsid w:val="2AF23E52"/>
    <w:rsid w:val="2C907E1A"/>
    <w:rsid w:val="322D6683"/>
    <w:rsid w:val="332A41D3"/>
    <w:rsid w:val="33BC78C0"/>
    <w:rsid w:val="347A5FF2"/>
    <w:rsid w:val="359143C6"/>
    <w:rsid w:val="37603276"/>
    <w:rsid w:val="398025E2"/>
    <w:rsid w:val="3AD73FA6"/>
    <w:rsid w:val="3BA970D7"/>
    <w:rsid w:val="3CE91462"/>
    <w:rsid w:val="3DCF2928"/>
    <w:rsid w:val="3F7E65E5"/>
    <w:rsid w:val="403349FA"/>
    <w:rsid w:val="40F36CE9"/>
    <w:rsid w:val="43BB2901"/>
    <w:rsid w:val="44214E27"/>
    <w:rsid w:val="44ED4F4C"/>
    <w:rsid w:val="45FA0E61"/>
    <w:rsid w:val="4607252A"/>
    <w:rsid w:val="491900E7"/>
    <w:rsid w:val="4CF265E1"/>
    <w:rsid w:val="4F0C056C"/>
    <w:rsid w:val="52385850"/>
    <w:rsid w:val="5D4F024B"/>
    <w:rsid w:val="63415ECD"/>
    <w:rsid w:val="63AA109B"/>
    <w:rsid w:val="65016684"/>
    <w:rsid w:val="67872B26"/>
    <w:rsid w:val="69DA7AE2"/>
    <w:rsid w:val="6BF20EEA"/>
    <w:rsid w:val="6D91409E"/>
    <w:rsid w:val="6DD95C99"/>
    <w:rsid w:val="71EA1B6B"/>
    <w:rsid w:val="73394EED"/>
    <w:rsid w:val="73D56595"/>
    <w:rsid w:val="75262647"/>
    <w:rsid w:val="78B80838"/>
    <w:rsid w:val="79603635"/>
    <w:rsid w:val="7BB07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dataSourceCollection xmlns="http://www.yonyou.com/datasource"/>
</file>

<file path=customXml/item3.xml><?xml version="1.0" encoding="utf-8"?>
<relations xmlns="http://www.yonyou.com/rela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2CF399-95D4-47C3-A6AF-DD8CF714475C}">
  <ds:schemaRefs/>
</ds:datastoreItem>
</file>

<file path=customXml/itemProps3.xml><?xml version="1.0" encoding="utf-8"?>
<ds:datastoreItem xmlns:ds="http://schemas.openxmlformats.org/officeDocument/2006/customXml" ds:itemID="{4ED9C5E5-D224-43D8-9D18-595E17905F2D}">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19</Pages>
  <Words>2778</Words>
  <Characters>15837</Characters>
  <Lines>131</Lines>
  <Paragraphs>37</Paragraphs>
  <TotalTime>23</TotalTime>
  <ScaleCrop>false</ScaleCrop>
  <LinksUpToDate>false</LinksUpToDate>
  <CharactersWithSpaces>18578</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2019-04-10T08:56:00Z</dcterms:created>
  <dc:creator>AutoBVT</dc:creator>
  <cp:lastModifiedBy>W</cp:lastModifiedBy>
  <dcterms:modified xsi:type="dcterms:W3CDTF">2019-04-30T00:30:11Z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