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附件：2023年度江苏省教育科学规划课题拟上报名单</w:t>
      </w:r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黑体" w:hAnsi="宋体" w:eastAsia="黑体" w:cs="黑体"/>
          <w:b/>
          <w:bCs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tbl>
      <w:tblPr>
        <w:tblStyle w:val="2"/>
        <w:tblW w:w="9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88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地方红色资源赋能高校课程思政的知信行逻辑进路研究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VR环境的同伴代理对个体创造力影响及认知神经机制研究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大国博弈时代中美教育软实力提升战略比较研究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羞怯个体在网络与现实情景中的自我表露差异与VR干预研究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于战宇、陈鹏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高校国家安全教育典型案例库建设及课程思政嵌入研究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刘泽照、郝其宏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高校有组织科研运行机理与协同治理研究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娄峥嵘、卜伟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中小学生倾听力的动态评估与教学干预研究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周杰、王志彬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中小学教师工作旺盛感的产生机制及其对教师专业发展的影响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吴丁玲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高质量发展视域下教育交往实践的现实省思及路径重构研究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《马克思主义基本原理》教育在弘扬中华优秀传统文化中的基础作用研究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张丽霞、卞伟伟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高质量发展视域下职业教育产教融合协同机制研究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邵明辉、文雯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苏北地方非遗文化融入高校美育的机制与路径研究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新时代高职教育质量第三方评价改革研究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跨空间信息融合的个性化学习资源推荐研究与应用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刘小洋、谢春丽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基于教师学科理解的生命教育呈现路径探索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家庭经济困难少数民族学生学业质量及其改进研究——以部分苏北本科高校为研究对象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协作学习情境中学习投入的动态演变机制与干预策略研究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基于古文字的师范生汉字教学能力提升策略研究及评价体系建设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孙启灿、周清澜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新文科背景下高校学术英语类课程“阅读圈”教学模式构建及成效评价研究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流动儿童心理健康教育的多元协同模式研究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侯博、王志威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青年亚文化对高职生择业观的影响及引导路径研究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杜连森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UwZGJiYjNhODc5NDcwNGU5MDQwYzY4YWQ5YjgifQ=="/>
  </w:docVars>
  <w:rsids>
    <w:rsidRoot w:val="79DE55BD"/>
    <w:rsid w:val="79D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2023-09-15T07:41:00Z</dcterms:created>
  <dc:creator>江苏师大马婕</dc:creator>
  <cp:lastModifiedBy>江苏师大马婕</cp:lastModifiedBy>
  <dcterms:modified xsi:type="dcterms:W3CDTF">2023-09-15T07:48:30Z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E366347CD72849B4A572435E992F76C5_11</vt:lpwstr>
  </property>
</Properties>
</file>