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1999" w14:textId="1520C75F" w:rsidR="009D3DD2" w:rsidRDefault="009D3DD2" w:rsidP="009D3DD2">
      <w:pPr>
        <w:pStyle w:val="a3"/>
        <w:shd w:val="clear" w:color="auto" w:fill="FFFFFF"/>
        <w:spacing w:before="0" w:beforeAutospacing="0" w:after="0" w:afterAutospacing="0" w:line="640" w:lineRule="exact"/>
        <w:rPr>
          <w:rStyle w:val="a4"/>
          <w:rFonts w:ascii="黑体" w:eastAsia="黑体" w:hAnsi="黑体"/>
          <w:b w:val="0"/>
          <w:color w:val="333333"/>
          <w:sz w:val="30"/>
          <w:szCs w:val="30"/>
        </w:rPr>
      </w:pPr>
      <w:r w:rsidRPr="009D3DD2">
        <w:rPr>
          <w:rStyle w:val="a4"/>
          <w:rFonts w:ascii="黑体" w:eastAsia="黑体" w:hAnsi="黑体" w:hint="eastAsia"/>
          <w:b w:val="0"/>
          <w:color w:val="333333"/>
          <w:sz w:val="30"/>
          <w:szCs w:val="30"/>
        </w:rPr>
        <w:t>附件</w:t>
      </w:r>
      <w:r w:rsidR="00AA02D7">
        <w:rPr>
          <w:rStyle w:val="a4"/>
          <w:rFonts w:ascii="黑体" w:eastAsia="黑体" w:hAnsi="黑体"/>
          <w:b w:val="0"/>
          <w:color w:val="333333"/>
          <w:sz w:val="30"/>
          <w:szCs w:val="30"/>
        </w:rPr>
        <w:t>3</w:t>
      </w:r>
      <w:r w:rsidR="00D61386">
        <w:rPr>
          <w:rStyle w:val="a4"/>
          <w:rFonts w:ascii="黑体" w:eastAsia="黑体" w:hAnsi="黑体" w:hint="eastAsia"/>
          <w:b w:val="0"/>
          <w:color w:val="333333"/>
          <w:sz w:val="30"/>
          <w:szCs w:val="30"/>
        </w:rPr>
        <w:t>：</w:t>
      </w:r>
    </w:p>
    <w:p w14:paraId="1DFEEF75" w14:textId="77777777" w:rsidR="009D3DD2" w:rsidRPr="009D3DD2" w:rsidRDefault="009D3DD2" w:rsidP="009D3DD2">
      <w:pPr>
        <w:pStyle w:val="a3"/>
        <w:shd w:val="clear" w:color="auto" w:fill="FFFFFF"/>
        <w:spacing w:before="0" w:beforeAutospacing="0" w:after="0" w:afterAutospacing="0" w:line="640" w:lineRule="exact"/>
        <w:rPr>
          <w:rStyle w:val="a4"/>
          <w:rFonts w:ascii="黑体" w:eastAsia="黑体" w:hAnsi="黑体"/>
          <w:b w:val="0"/>
          <w:color w:val="333333"/>
          <w:sz w:val="30"/>
          <w:szCs w:val="30"/>
        </w:rPr>
      </w:pPr>
    </w:p>
    <w:p w14:paraId="58350C0E" w14:textId="77777777" w:rsidR="00BB2DA9" w:rsidRPr="00912857" w:rsidRDefault="00BB2DA9" w:rsidP="005926C9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/>
          <w:b/>
          <w:color w:val="333333"/>
          <w:sz w:val="44"/>
          <w:szCs w:val="44"/>
        </w:rPr>
      </w:pPr>
      <w:r w:rsidRPr="00912857">
        <w:rPr>
          <w:rStyle w:val="a4"/>
          <w:rFonts w:ascii="方正小标宋简体" w:eastAsia="方正小标宋简体" w:hAnsi="华文中宋" w:hint="eastAsia"/>
          <w:b w:val="0"/>
          <w:color w:val="333333"/>
          <w:sz w:val="44"/>
          <w:szCs w:val="44"/>
        </w:rPr>
        <w:t>江苏省产业教授（研究生导师类）选聘办法</w:t>
      </w:r>
    </w:p>
    <w:p w14:paraId="061C69E7" w14:textId="77777777" w:rsidR="00912857" w:rsidRDefault="00912857" w:rsidP="005926C9">
      <w:pPr>
        <w:pStyle w:val="a3"/>
        <w:shd w:val="clear" w:color="auto" w:fill="FFFFFF"/>
        <w:spacing w:before="0" w:beforeAutospacing="0" w:after="150" w:afterAutospacing="0" w:line="555" w:lineRule="atLeast"/>
        <w:ind w:firstLine="645"/>
        <w:jc w:val="both"/>
        <w:rPr>
          <w:rFonts w:ascii="Times New Roman" w:eastAsia="微软雅黑" w:hAnsi="Times New Roman" w:cs="Times New Roman"/>
          <w:color w:val="333333"/>
          <w:sz w:val="32"/>
          <w:szCs w:val="32"/>
        </w:rPr>
      </w:pPr>
    </w:p>
    <w:p w14:paraId="0B177D37" w14:textId="77777777" w:rsidR="00BB2DA9" w:rsidRDefault="00BB2DA9" w:rsidP="005926C9">
      <w:pPr>
        <w:pStyle w:val="a3"/>
        <w:shd w:val="clear" w:color="auto" w:fill="FFFFFF"/>
        <w:spacing w:before="0" w:beforeAutospacing="0" w:after="150" w:afterAutospacing="0" w:line="555" w:lineRule="atLeas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2018</w:t>
      </w:r>
      <w:r>
        <w:rPr>
          <w:rFonts w:ascii="楷体" w:eastAsia="楷体" w:hAnsi="楷体" w:hint="eastAsia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楷体" w:eastAsia="楷体" w:hAnsi="楷体" w:hint="eastAsia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23</w:t>
      </w:r>
      <w:r>
        <w:rPr>
          <w:rFonts w:ascii="楷体" w:eastAsia="楷体" w:hAnsi="楷体" w:hint="eastAsia"/>
          <w:color w:val="333333"/>
          <w:sz w:val="32"/>
          <w:szCs w:val="32"/>
        </w:rPr>
        <w:t>日省人才办、省教育厅、省科技厅、省人力资源社会保障厅、省财政厅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楷体" w:eastAsia="楷体" w:hAnsi="楷体" w:hint="eastAsia"/>
          <w:color w:val="333333"/>
          <w:sz w:val="32"/>
          <w:szCs w:val="32"/>
        </w:rPr>
        <w:t>苏教规〔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2018</w:t>
      </w:r>
      <w:r>
        <w:rPr>
          <w:rFonts w:ascii="楷体" w:eastAsia="楷体" w:hAnsi="楷体" w:hint="eastAsia"/>
          <w:color w:val="333333"/>
          <w:sz w:val="32"/>
          <w:szCs w:val="32"/>
        </w:rPr>
        <w:t>〕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楷体" w:eastAsia="楷体" w:hAnsi="楷体" w:hint="eastAsia"/>
          <w:color w:val="333333"/>
          <w:sz w:val="32"/>
          <w:szCs w:val="32"/>
        </w:rPr>
        <w:t>号文件发布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楷体" w:eastAsia="楷体" w:hAnsi="楷体" w:hint="eastAsia"/>
          <w:color w:val="333333"/>
          <w:sz w:val="32"/>
          <w:szCs w:val="32"/>
        </w:rPr>
        <w:t>根据省教育厅苏教规〔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楷体" w:eastAsia="楷体" w:hAnsi="楷体" w:hint="eastAsia"/>
          <w:color w:val="333333"/>
          <w:sz w:val="32"/>
          <w:szCs w:val="32"/>
        </w:rPr>
        <w:t>〕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</w:t>
      </w:r>
      <w:r>
        <w:rPr>
          <w:rFonts w:ascii="楷体" w:eastAsia="楷体" w:hAnsi="楷体" w:hint="eastAsia"/>
          <w:color w:val="333333"/>
          <w:sz w:val="32"/>
          <w:szCs w:val="32"/>
        </w:rPr>
        <w:t>号文件修订自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2022</w:t>
      </w:r>
      <w:r>
        <w:rPr>
          <w:rFonts w:ascii="楷体" w:eastAsia="楷体" w:hAnsi="楷体" w:hint="eastAsia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楷体" w:eastAsia="楷体" w:hAnsi="楷体" w:hint="eastAsia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楷体" w:eastAsia="楷体" w:hAnsi="楷体" w:hint="eastAsia"/>
          <w:color w:val="333333"/>
          <w:sz w:val="32"/>
          <w:szCs w:val="32"/>
        </w:rPr>
        <w:t>日起执行）</w:t>
      </w:r>
    </w:p>
    <w:p w14:paraId="1F2B669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t>第一章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总则</w:t>
      </w:r>
    </w:p>
    <w:p w14:paraId="5F0BB73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苏省人才办、省教育厅、省科技厅、省人力资源和社会保障厅、省财政厅（以下简称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）在具有硕士及以上学位授权普通高校（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含服务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国家特殊需求人才培养项目高校）开展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产业教授选聘工作（研究生导师类，下同）。</w:t>
      </w:r>
    </w:p>
    <w:p w14:paraId="5F80F60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开展产业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教授选聘工作</w:t>
      </w:r>
      <w:r>
        <w:rPr>
          <w:rFonts w:ascii="仿宋_GB2312" w:eastAsia="仿宋_GB2312" w:hAnsi="微软雅黑" w:hint="eastAsia"/>
          <w:color w:val="111111"/>
          <w:sz w:val="32"/>
          <w:szCs w:val="32"/>
        </w:rPr>
        <w:t>旨在进一步深化产教融合，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加强研究生导师队伍建设，为培养高层次创新型人才、推进高水平科技成果转化提供重要支持和制度保障。</w:t>
      </w:r>
    </w:p>
    <w:p w14:paraId="716B28BB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产业教授实行聘任制，按需设岗、公开选聘、择优聘任、合同管理。每年选聘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人左右，聘期四年。</w:t>
      </w:r>
    </w:p>
    <w:p w14:paraId="370684FF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第四条</w:t>
      </w:r>
      <w:r w:rsidR="00912857">
        <w:rPr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产业教授指导研究生培养工作，与校内导师享有同等权益。省五部门对产业教授与聘任高校联合申报的科技项目、研发载体等，在同等条件下予以优先立项。</w:t>
      </w:r>
    </w:p>
    <w:p w14:paraId="1028F63E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t>第二章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黑体" w:eastAsia="黑体" w:hAnsi="黑体" w:hint="eastAsia"/>
          <w:color w:val="141414"/>
          <w:sz w:val="32"/>
          <w:szCs w:val="32"/>
        </w:rPr>
        <w:t>选聘条件</w:t>
      </w:r>
    </w:p>
    <w:p w14:paraId="0E7B6691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第五条</w:t>
      </w:r>
      <w:bookmarkStart w:id="0" w:name="_Hlk500783120"/>
      <w:bookmarkEnd w:id="0"/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申报产业教授须具备以下条件：</w:t>
      </w:r>
    </w:p>
    <w:p w14:paraId="2F1A8B70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（一）全面贯彻党的教育方针，具有良好的政治素质和职业道德，热心研究生培养工作；</w:t>
      </w:r>
    </w:p>
    <w:p w14:paraId="28641B7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（二）原则上应具有硕士及以上学位，或具有拟聘任相关学科（领域）高级专业技术职称；</w:t>
      </w:r>
    </w:p>
    <w:p w14:paraId="237E3431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（三）主持或参与过省级以上科研项目；</w:t>
      </w:r>
    </w:p>
    <w:p w14:paraId="3BA509BA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（四）身体健康，年龄一般不超过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60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周岁，国家级人才可放宽至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65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周岁；</w:t>
      </w:r>
    </w:p>
    <w:p w14:paraId="4572FAD0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（五）所在单位应设有江苏省研究生工作站、江苏省博士后科研工作站、江苏省博士后创新实践基地、省级及以上工程技术研究中心、重点实验室、工程实验室等（符合其中之一）。</w:t>
      </w:r>
    </w:p>
    <w:p w14:paraId="670CDA0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第六条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具备以下条件之一者，予以优先选聘。</w:t>
      </w:r>
    </w:p>
    <w:p w14:paraId="7314F790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（一）省级及以上人才计划入选者；</w:t>
      </w:r>
    </w:p>
    <w:p w14:paraId="066A31EC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（二）拥有重大发明专利或掌握关键技术，或在重大科技成果转化方面取得突出成绩，研究成果达到国内先进水平者；</w:t>
      </w:r>
    </w:p>
    <w:p w14:paraId="3309DFB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（三）所在单位被评为江苏省优秀研究生工作站、江苏省示范博士后科研工作站的。</w:t>
      </w:r>
    </w:p>
    <w:p w14:paraId="1CD80CB4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1" w:name="_Hlk500788786"/>
      <w:bookmarkEnd w:id="1"/>
      <w:r>
        <w:rPr>
          <w:rFonts w:ascii="黑体" w:eastAsia="黑体" w:hAnsi="黑体" w:hint="eastAsia"/>
          <w:color w:val="141414"/>
          <w:sz w:val="32"/>
          <w:szCs w:val="32"/>
        </w:rPr>
        <w:t>第三章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黑体" w:eastAsia="黑体" w:hAnsi="黑体" w:hint="eastAsia"/>
          <w:color w:val="141414"/>
          <w:sz w:val="32"/>
          <w:szCs w:val="32"/>
        </w:rPr>
        <w:t>选聘程序</w:t>
      </w:r>
    </w:p>
    <w:p w14:paraId="276C291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第七条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 w14:paraId="7B7106B5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第八条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产业教授申报者经所在单位同意、在所在单位予以公示后，向相关高校提出申请（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限申请</w:t>
      </w:r>
      <w:proofErr w:type="gramEnd"/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所高校）。相关高校组织专家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评审，并将评审结果公示后，将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相关申报材料报送至江苏省产业教授选聘办公室（以下简称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选聘办公室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），选聘办公室设在省教育厅研究生教育处（省学位委员会办公室）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。</w:t>
      </w:r>
    </w:p>
    <w:p w14:paraId="3A1B462A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第九条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省五部门对高校上报人选进行遴选，将结果进行公示、发布，并为入选者颁发江苏省产业教授聘书。</w:t>
      </w:r>
    </w:p>
    <w:p w14:paraId="435F8F33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相关高校与产业教授签订聘任合同，明确双方责权利。</w:t>
      </w:r>
    </w:p>
    <w:p w14:paraId="44057E7B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2" w:name="_Hlk500788835"/>
      <w:bookmarkEnd w:id="2"/>
      <w:r>
        <w:rPr>
          <w:rFonts w:ascii="黑体" w:eastAsia="黑体" w:hAnsi="黑体" w:hint="eastAsia"/>
          <w:color w:val="141414"/>
          <w:sz w:val="32"/>
          <w:szCs w:val="32"/>
        </w:rPr>
        <w:t>第四章</w:t>
      </w:r>
      <w:r w:rsidR="00912857">
        <w:rPr>
          <w:rFonts w:ascii="Times New Roman" w:eastAsia="微软雅黑" w:hAnsi="Times New Roman" w:cs="Times New Roman" w:hint="eastAsia"/>
          <w:color w:val="141414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工作职责</w:t>
      </w:r>
    </w:p>
    <w:p w14:paraId="21D1FE31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产业教授职责：</w:t>
      </w:r>
    </w:p>
    <w:p w14:paraId="1011588C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（一）参与高校学科与学位点建设、研究生培养方案制订或修订、教材开发、教学改革等工作。</w:t>
      </w:r>
    </w:p>
    <w:p w14:paraId="047EB5ED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（二）指导或联合指导研究生，承担研究生实践课程的建设和教学工作。</w:t>
      </w:r>
    </w:p>
    <w:p w14:paraId="0C15E805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（三）与高校联合开展项目申报、科学研究、科技开发、成果转化；</w:t>
      </w:r>
    </w:p>
    <w:p w14:paraId="3F72ADA8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（四）推动所在单位与高校共建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企业院士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工作站、博士后科研工作站、博士后创新实践基地、工程技术研究中心、江苏省优秀研究生工作站、江苏省研究生工作站示范基地。</w:t>
      </w:r>
    </w:p>
    <w:p w14:paraId="2D7CD575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第十二条</w:t>
      </w:r>
      <w:r w:rsidR="005D71C1"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高校职责：</w:t>
      </w:r>
    </w:p>
    <w:p w14:paraId="2915B1A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（一）制订产业教授选聘细则，明确产业教授岗位职责和权益，明确产业教授具体工作任务和工作量；</w:t>
      </w:r>
    </w:p>
    <w:p w14:paraId="404D772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（二）探索产教融合新机制，构建产教研一体化平台；</w:t>
      </w:r>
    </w:p>
    <w:p w14:paraId="76E146C5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（三）为产业教授提供必要的工作条件和经费支持；</w:t>
      </w:r>
    </w:p>
    <w:p w14:paraId="3B64DC77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（四）组织产业教授中期考核工作；</w:t>
      </w:r>
    </w:p>
    <w:p w14:paraId="276AA67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（五）与产业教授所在单位共建各类研发机构，引导和鼓励本校科研人员到企业创新创业，优先向产业教授所在单位转化先进科技成果；</w:t>
      </w:r>
    </w:p>
    <w:p w14:paraId="4180BF8E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（六）为产业教授所在单位提供员工技术培训和继续教育；</w:t>
      </w:r>
    </w:p>
    <w:p w14:paraId="03417764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（七）推荐优秀毕业生到产业教授所在单位就业。</w:t>
      </w:r>
    </w:p>
    <w:p w14:paraId="018DF1C7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产业教授所在单位职责：</w:t>
      </w:r>
    </w:p>
    <w:p w14:paraId="3D81067C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（一）支持符合条件的人选申报产业教授，支持产业教授参与高校的人才培养、科学研究，支持科技成果在本单位的转化，参与对产业教授的考核工作；</w:t>
      </w:r>
    </w:p>
    <w:p w14:paraId="19E28D73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（二）为产业教授指导研究生提供实习实践平台和条件，创造条件吸纳优秀研究生在本单位就业。</w:t>
      </w:r>
    </w:p>
    <w:p w14:paraId="2359234F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3" w:name="_Hlk500788935"/>
      <w:bookmarkEnd w:id="3"/>
      <w:r>
        <w:rPr>
          <w:rFonts w:ascii="黑体" w:eastAsia="黑体" w:hAnsi="黑体" w:hint="eastAsia"/>
          <w:color w:val="141414"/>
          <w:sz w:val="32"/>
          <w:szCs w:val="32"/>
        </w:rPr>
        <w:t>第五章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考核管理</w:t>
      </w:r>
    </w:p>
    <w:p w14:paraId="2DAC5FD2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第十四条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产业教授实施中期考核和期满考核。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 w14:paraId="48E4D820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lastRenderedPageBreak/>
        <w:t>第十五条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 w14:paraId="0E441F7E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第十六条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 w14:paraId="6678CC6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第十七条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期满考核优秀且符合申报条件的，经高校和产业教授同意，可直接续聘。</w:t>
      </w: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期满考核不合格的，五年内不得申报。</w:t>
      </w:r>
    </w:p>
    <w:p w14:paraId="4346B55B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第十八条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产业教授有下列情形之一的，自动解除聘任合同：</w:t>
      </w:r>
    </w:p>
    <w:p w14:paraId="0AA83C67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（一）身体健康原因不能履职的；</w:t>
      </w:r>
    </w:p>
    <w:p w14:paraId="7321F4CF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（二）调离江苏工作的或调离原工作单位不能继续履职的；</w:t>
      </w:r>
    </w:p>
    <w:p w14:paraId="78B9AEA5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（三）存在学术不端行为的；</w:t>
      </w:r>
    </w:p>
    <w:p w14:paraId="066DDD1E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（四）有严重教学、科研、管理等方面事故的；</w:t>
      </w:r>
    </w:p>
    <w:p w14:paraId="3FC86E0A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（五）有其他严重影响聘任高校和所在单位声誉的。</w:t>
      </w:r>
    </w:p>
    <w:p w14:paraId="07323A92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第十九条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选聘办公室定期对高校产业教授选聘工作进行督查。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对履责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不力的高校，视实际情况，减少下一年度产业教授选聘名额，或不列入下一年度产业教授选聘高校范围。</w:t>
      </w:r>
    </w:p>
    <w:p w14:paraId="2CFDAAB6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省教育厅、省财政厅将产业教授选聘工作成效作为高校办学评价的重要指标，并在研究生招生计划安排、相关项目申报等方面给予倾斜。对期满考核为优秀的产业教授，予以通报表扬。</w:t>
      </w:r>
    </w:p>
    <w:p w14:paraId="1A8AE063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141414"/>
          <w:sz w:val="32"/>
          <w:szCs w:val="32"/>
        </w:rPr>
        <w:lastRenderedPageBreak/>
        <w:t>第六章</w:t>
      </w:r>
      <w:r w:rsidR="00912857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141414"/>
          <w:sz w:val="32"/>
          <w:szCs w:val="32"/>
        </w:rPr>
        <w:t>附则</w:t>
      </w:r>
    </w:p>
    <w:p w14:paraId="5CCEE864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第二十一条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各高校制订的产业教授选聘细则须报省选聘办公室备案。</w:t>
      </w:r>
    </w:p>
    <w:p w14:paraId="08B62789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第二十二条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本办法由选聘办公室负责解释。</w:t>
      </w:r>
    </w:p>
    <w:p w14:paraId="4F177920" w14:textId="77777777" w:rsidR="00BB2DA9" w:rsidRDefault="00BB2DA9" w:rsidP="005926C9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_GB2312" w:eastAsia="仿宋_GB2312" w:hAnsi="微软雅黑" w:hint="eastAsia"/>
          <w:color w:val="333333"/>
          <w:sz w:val="32"/>
          <w:szCs w:val="32"/>
        </w:rPr>
        <w:t>第二十三条</w:t>
      </w:r>
      <w:r w:rsidR="00912857">
        <w:rPr>
          <w:rStyle w:val="a4"/>
          <w:rFonts w:ascii="Times New Roman" w:eastAsia="微软雅黑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本办法自发布之日起施行。</w:t>
      </w:r>
    </w:p>
    <w:p w14:paraId="528EAFF8" w14:textId="77777777" w:rsidR="00BA70AB" w:rsidRPr="00BB2DA9" w:rsidRDefault="00BA70AB" w:rsidP="005926C9">
      <w:pPr>
        <w:spacing w:line="560" w:lineRule="exact"/>
      </w:pPr>
    </w:p>
    <w:sectPr w:rsidR="00BA70AB" w:rsidRPr="00BB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FA0C" w14:textId="77777777" w:rsidR="008374E0" w:rsidRDefault="008374E0" w:rsidP="009D3DD2">
      <w:r>
        <w:separator/>
      </w:r>
    </w:p>
  </w:endnote>
  <w:endnote w:type="continuationSeparator" w:id="0">
    <w:p w14:paraId="508D91D2" w14:textId="77777777" w:rsidR="008374E0" w:rsidRDefault="008374E0" w:rsidP="009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796F" w14:textId="77777777" w:rsidR="008374E0" w:rsidRDefault="008374E0" w:rsidP="009D3DD2">
      <w:r>
        <w:separator/>
      </w:r>
    </w:p>
  </w:footnote>
  <w:footnote w:type="continuationSeparator" w:id="0">
    <w:p w14:paraId="516C5774" w14:textId="77777777" w:rsidR="008374E0" w:rsidRDefault="008374E0" w:rsidP="009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A9"/>
    <w:rsid w:val="00434F0B"/>
    <w:rsid w:val="005926C9"/>
    <w:rsid w:val="005B5909"/>
    <w:rsid w:val="005D71C1"/>
    <w:rsid w:val="005E1551"/>
    <w:rsid w:val="008374E0"/>
    <w:rsid w:val="00912857"/>
    <w:rsid w:val="0099698E"/>
    <w:rsid w:val="009D3DD2"/>
    <w:rsid w:val="00AA02D7"/>
    <w:rsid w:val="00BA70AB"/>
    <w:rsid w:val="00BB2DA9"/>
    <w:rsid w:val="00D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F5E9"/>
  <w15:docId w15:val="{DCB55BA8-8810-4275-8D76-8C3F42F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D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2DA9"/>
    <w:rPr>
      <w:b/>
      <w:bCs/>
    </w:rPr>
  </w:style>
  <w:style w:type="paragraph" w:styleId="a5">
    <w:name w:val="header"/>
    <w:basedOn w:val="a"/>
    <w:link w:val="a6"/>
    <w:uiPriority w:val="99"/>
    <w:unhideWhenUsed/>
    <w:rsid w:val="009D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3D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3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李永亮</cp:lastModifiedBy>
  <cp:revision>8</cp:revision>
  <dcterms:created xsi:type="dcterms:W3CDTF">2022-06-24T10:18:00Z</dcterms:created>
  <dcterms:modified xsi:type="dcterms:W3CDTF">2025-08-15T15:15:00Z</dcterms:modified>
</cp:coreProperties>
</file>